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33" w:rsidRDefault="00845B47">
      <w:pPr>
        <w:pStyle w:val="Standard"/>
        <w:jc w:val="both"/>
      </w:pPr>
      <w:r>
        <w:rPr>
          <w:b/>
          <w:bCs/>
          <w:sz w:val="22"/>
          <w:szCs w:val="22"/>
        </w:rPr>
        <w:t xml:space="preserve">                                                             </w:t>
      </w:r>
      <w:r>
        <w:rPr>
          <w:b/>
          <w:bCs/>
          <w:sz w:val="20"/>
          <w:szCs w:val="20"/>
        </w:rPr>
        <w:t xml:space="preserve">  OGŁOSZENIE O PRZETARGU</w:t>
      </w:r>
    </w:p>
    <w:p w:rsidR="00F25A33" w:rsidRDefault="00845B47">
      <w:pPr>
        <w:pStyle w:val="Standard"/>
        <w:jc w:val="both"/>
      </w:pPr>
      <w:r>
        <w:rPr>
          <w:sz w:val="18"/>
          <w:szCs w:val="18"/>
          <w:u w:val="single"/>
        </w:rPr>
        <w:t xml:space="preserve">Burmistrz Miasta Pionki ogłasza IV ustny przetarg nieograniczony na sprzedaż prawa użytkowania wieczystego zabudowanej nieruchomości położonej w Pionkach przy ul. Zakładowej 7.              </w:t>
      </w:r>
    </w:p>
    <w:p w:rsidR="00F25A33" w:rsidRDefault="00F25A33">
      <w:pPr>
        <w:pStyle w:val="Standard"/>
        <w:jc w:val="both"/>
        <w:rPr>
          <w:sz w:val="18"/>
          <w:szCs w:val="18"/>
          <w:u w:val="single"/>
        </w:rPr>
      </w:pPr>
    </w:p>
    <w:p w:rsidR="00F25A33" w:rsidRDefault="00845B47">
      <w:pPr>
        <w:pStyle w:val="Standard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Do sprzedaży przeznaczone jest:</w:t>
      </w:r>
      <w:r>
        <w:rPr>
          <w:sz w:val="18"/>
          <w:szCs w:val="18"/>
        </w:rPr>
        <w:t xml:space="preserve">  prawo użytkowania wieczystego zabudowanej nieruchomości oznaczonej w ewidencji gruntów jako  działka nr </w:t>
      </w:r>
      <w:r>
        <w:rPr>
          <w:rFonts w:cs="Tahoma"/>
          <w:sz w:val="18"/>
          <w:szCs w:val="18"/>
        </w:rPr>
        <w:t xml:space="preserve">1464/420 o powierzchni  0,6028 ha w  wraz z udziałem 12/10000cz. w prawie użytkowania wieczystego działek </w:t>
      </w:r>
    </w:p>
    <w:p w:rsidR="00F25A33" w:rsidRDefault="00845B47">
      <w:pPr>
        <w:pStyle w:val="Standard"/>
        <w:jc w:val="both"/>
        <w:rPr>
          <w:sz w:val="18"/>
          <w:szCs w:val="18"/>
        </w:rPr>
      </w:pPr>
      <w:r>
        <w:rPr>
          <w:rFonts w:cs="Tahoma"/>
          <w:sz w:val="18"/>
          <w:szCs w:val="18"/>
        </w:rPr>
        <w:t xml:space="preserve">nr:  1464/31,  1464/167,  1464/103, 1464/36 , 1464/126 , 1464/60 , 1464/141, 1464/176 i 1464/178 o łącznej pow. 8,2262 ha stanowiących drogi wewnętrzne, łączące tę nieruchomość z drogą publiczną. Nieruchomość zabudowana jest  dwoma budynkami produkcyjno-magazynowymi   o pow. użytkowej 1152,04 </w:t>
      </w:r>
      <w:r>
        <w:rPr>
          <w:rFonts w:cs="Tahoma"/>
          <w:sz w:val="18"/>
          <w:szCs w:val="18"/>
          <w:vertAlign w:val="superscript"/>
        </w:rPr>
        <w:t xml:space="preserve"> </w:t>
      </w:r>
      <w:r>
        <w:rPr>
          <w:rFonts w:cs="Tahoma"/>
          <w:sz w:val="18"/>
          <w:szCs w:val="18"/>
        </w:rPr>
        <w:t>m</w:t>
      </w:r>
      <w:r>
        <w:rPr>
          <w:rFonts w:cs="Tahoma"/>
          <w:sz w:val="18"/>
          <w:szCs w:val="18"/>
          <w:vertAlign w:val="superscript"/>
        </w:rPr>
        <w:t xml:space="preserve">2. </w:t>
      </w:r>
      <w:r>
        <w:rPr>
          <w:rFonts w:cs="Tahoma"/>
          <w:sz w:val="18"/>
          <w:szCs w:val="18"/>
        </w:rPr>
        <w:t xml:space="preserve"> i 610,69 m².</w:t>
      </w:r>
    </w:p>
    <w:p w:rsidR="00F25A33" w:rsidRDefault="00845B47">
      <w:pPr>
        <w:widowControl w:val="0"/>
        <w:suppressAutoHyphens/>
        <w:spacing w:after="0" w:line="240" w:lineRule="auto"/>
        <w:jc w:val="both"/>
        <w:textAlignment w:val="baseline"/>
        <w:rPr>
          <w:sz w:val="18"/>
          <w:szCs w:val="18"/>
        </w:rPr>
      </w:pPr>
      <w:r>
        <w:rPr>
          <w:rFonts w:ascii="Times New Roman" w:eastAsia="Lucida Sans Unicode" w:hAnsi="Times New Roman" w:cs="Tahoma"/>
          <w:kern w:val="2"/>
          <w:sz w:val="18"/>
          <w:szCs w:val="18"/>
          <w:lang w:eastAsia="zh-CN" w:bidi="hi-IN"/>
        </w:rPr>
        <w:t>Dla przedmiotowych nieruchomości Sąd Rejonowy w Kozienicach V Wydział Ksiąg Wieczystych  prowadzi księgi wieczyste KW Nr: RA2Z/00008104/2, RA2Z/00008243/8,  RA2Z/00008565/1, RA2Z/00011849/0, RA2Z/00009498/7, RA2Z/00010632/9, RA2Z/00008181/5</w:t>
      </w:r>
      <w:r w:rsidR="00310384">
        <w:rPr>
          <w:rFonts w:ascii="Times New Roman" w:eastAsia="Lucida Sans Unicode" w:hAnsi="Times New Roman" w:cs="Tahoma"/>
          <w:kern w:val="2"/>
          <w:sz w:val="18"/>
          <w:szCs w:val="18"/>
          <w:lang w:eastAsia="zh-CN" w:bidi="hi-IN"/>
        </w:rPr>
        <w:t xml:space="preserve">, </w:t>
      </w:r>
      <w:r>
        <w:rPr>
          <w:rFonts w:ascii="Times New Roman" w:eastAsia="Lucida Sans Unicode" w:hAnsi="Times New Roman" w:cs="Tahoma"/>
          <w:kern w:val="2"/>
          <w:sz w:val="18"/>
          <w:szCs w:val="18"/>
          <w:lang w:eastAsia="zh-CN" w:bidi="hi-IN"/>
        </w:rPr>
        <w:t xml:space="preserve"> RA2Z/00010155/1</w:t>
      </w:r>
      <w:r w:rsidR="00310384">
        <w:rPr>
          <w:rFonts w:ascii="Times New Roman" w:eastAsia="Lucida Sans Unicode" w:hAnsi="Times New Roman" w:cs="Tahoma"/>
          <w:kern w:val="2"/>
          <w:sz w:val="18"/>
          <w:szCs w:val="18"/>
          <w:lang w:eastAsia="zh-CN" w:bidi="hi-IN"/>
        </w:rPr>
        <w:t xml:space="preserve">, </w:t>
      </w:r>
      <w:r>
        <w:rPr>
          <w:rFonts w:ascii="Times New Roman" w:eastAsia="Lucida Sans Unicode" w:hAnsi="Times New Roman" w:cs="Tahoma"/>
          <w:kern w:val="2"/>
          <w:sz w:val="18"/>
          <w:szCs w:val="18"/>
          <w:lang w:eastAsia="zh-CN" w:bidi="hi-IN"/>
        </w:rPr>
        <w:t xml:space="preserve"> RA2Z/00010156/8 i RA1K/00063712/1</w:t>
      </w:r>
      <w:r w:rsidR="00856503">
        <w:rPr>
          <w:rFonts w:ascii="Times New Roman" w:eastAsia="Lucida Sans Unicode" w:hAnsi="Times New Roman" w:cs="Tahoma"/>
          <w:kern w:val="2"/>
          <w:sz w:val="18"/>
          <w:szCs w:val="18"/>
          <w:lang w:eastAsia="zh-CN" w:bidi="hi-IN"/>
        </w:rPr>
        <w:t xml:space="preserve"> </w:t>
      </w:r>
    </w:p>
    <w:p w:rsidR="00F25A33" w:rsidRDefault="00845B47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Właścicielem działki nr 1464/420 jest Skarb Państwa, a użytkownikiem wieczystym gruntu i właścicielem budynk</w:t>
      </w:r>
      <w:r w:rsidR="00856503">
        <w:rPr>
          <w:sz w:val="18"/>
          <w:szCs w:val="18"/>
        </w:rPr>
        <w:t xml:space="preserve">ów </w:t>
      </w:r>
      <w:r>
        <w:rPr>
          <w:sz w:val="18"/>
          <w:szCs w:val="18"/>
        </w:rPr>
        <w:t>stanowiąc</w:t>
      </w:r>
      <w:r w:rsidR="00856503">
        <w:rPr>
          <w:sz w:val="18"/>
          <w:szCs w:val="18"/>
        </w:rPr>
        <w:t>ych</w:t>
      </w:r>
      <w:bookmarkStart w:id="0" w:name="_GoBack"/>
      <w:bookmarkEnd w:id="0"/>
      <w:r>
        <w:rPr>
          <w:sz w:val="18"/>
          <w:szCs w:val="18"/>
        </w:rPr>
        <w:t xml:space="preserve"> odrębny od gruntu przedmiot własności  jest Gmina Miasta Pionki.</w:t>
      </w:r>
    </w:p>
    <w:p w:rsidR="00F25A33" w:rsidRDefault="00845B47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Skarb Państwa jest właścicielem, a Gmina Miasta Pionki jest współużytkownikiem wieczystym działek nr: nr 1464/31, nr 1464/167, nr 1464/103, nr  1464/36, nr 1464/126, nr 1464/60, nr 1464/141, nr 1464/178 i nr 1464/176.</w:t>
      </w:r>
    </w:p>
    <w:p w:rsidR="00F25A33" w:rsidRDefault="00845B47">
      <w:pPr>
        <w:pStyle w:val="Standard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Przeznaczenie gruntu: </w:t>
      </w:r>
      <w:r>
        <w:rPr>
          <w:sz w:val="18"/>
          <w:szCs w:val="18"/>
        </w:rPr>
        <w:t>tereny: przemysłowe B.14-P.ZL – przemysł wyrobów specjalnych, przemysł i składy. Funkcją uzupełniającą są lasy o charakterze klimatycznym, izolacyjnym   i gospodarczym.</w:t>
      </w:r>
    </w:p>
    <w:p w:rsidR="00F25A33" w:rsidRDefault="00845B47">
      <w:pPr>
        <w:pStyle w:val="Standard"/>
        <w:jc w:val="both"/>
      </w:pPr>
      <w:r>
        <w:rPr>
          <w:b/>
          <w:bCs/>
          <w:sz w:val="18"/>
          <w:szCs w:val="18"/>
        </w:rPr>
        <w:t xml:space="preserve">Forma sprzedaży: IV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ustny przetarg nieograniczony</w:t>
      </w:r>
      <w:r>
        <w:rPr>
          <w:sz w:val="18"/>
          <w:szCs w:val="18"/>
        </w:rPr>
        <w:t xml:space="preserve">. </w:t>
      </w:r>
    </w:p>
    <w:p w:rsidR="00F25A33" w:rsidRDefault="00845B47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przetarg odbyła się 09 września 2019 r. </w:t>
      </w:r>
    </w:p>
    <w:p w:rsidR="00F25A33" w:rsidRDefault="00845B47">
      <w:pPr>
        <w:pStyle w:val="Standard"/>
        <w:jc w:val="both"/>
      </w:pPr>
      <w:r>
        <w:rPr>
          <w:sz w:val="18"/>
          <w:szCs w:val="18"/>
        </w:rPr>
        <w:t>II przetarg odbył się 12 listopada 2019 r.</w:t>
      </w:r>
    </w:p>
    <w:p w:rsidR="00F25A33" w:rsidRDefault="00845B47">
      <w:pPr>
        <w:pStyle w:val="Standard"/>
        <w:jc w:val="both"/>
      </w:pPr>
      <w:r>
        <w:rPr>
          <w:sz w:val="18"/>
          <w:szCs w:val="18"/>
        </w:rPr>
        <w:t>III przetarg odbył się 24 stycznia 2020 r.</w:t>
      </w:r>
    </w:p>
    <w:p w:rsidR="00F25A33" w:rsidRDefault="00845B47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Nieruchomość jest wolna od obciążeń. </w:t>
      </w:r>
    </w:p>
    <w:p w:rsidR="00F25A33" w:rsidRDefault="00845B47">
      <w:pPr>
        <w:pStyle w:val="Standard"/>
        <w:numPr>
          <w:ilvl w:val="0"/>
          <w:numId w:val="1"/>
        </w:numPr>
        <w:jc w:val="both"/>
      </w:pPr>
      <w:r>
        <w:rPr>
          <w:b/>
          <w:bCs/>
          <w:sz w:val="18"/>
          <w:szCs w:val="18"/>
        </w:rPr>
        <w:t>Cena wywoławcza nieruchomości: 206 000</w:t>
      </w:r>
      <w:r>
        <w:rPr>
          <w:rFonts w:cs="Tahoma"/>
          <w:b/>
          <w:bCs/>
          <w:sz w:val="18"/>
          <w:szCs w:val="18"/>
        </w:rPr>
        <w:t xml:space="preserve">,00 zł  </w:t>
      </w:r>
      <w:r>
        <w:rPr>
          <w:rFonts w:cs="Tahoma"/>
          <w:sz w:val="18"/>
          <w:szCs w:val="18"/>
        </w:rPr>
        <w:t>(</w:t>
      </w:r>
      <w:proofErr w:type="spellStart"/>
      <w:r>
        <w:rPr>
          <w:rFonts w:cs="Tahoma"/>
          <w:sz w:val="18"/>
          <w:szCs w:val="18"/>
        </w:rPr>
        <w:t>zwol</w:t>
      </w:r>
      <w:proofErr w:type="spellEnd"/>
      <w:r>
        <w:rPr>
          <w:rFonts w:cs="Tahoma"/>
          <w:sz w:val="18"/>
          <w:szCs w:val="18"/>
        </w:rPr>
        <w:t>. z VAT na podst. Art. 43 ust 1 pkt 10 ustawy o podatku od towarów i usług)</w:t>
      </w:r>
    </w:p>
    <w:p w:rsidR="00F25A33" w:rsidRDefault="00845B47">
      <w:pPr>
        <w:pStyle w:val="Standard"/>
        <w:numPr>
          <w:ilvl w:val="0"/>
          <w:numId w:val="1"/>
        </w:numPr>
        <w:jc w:val="both"/>
      </w:pPr>
      <w:r>
        <w:rPr>
          <w:b/>
          <w:bCs/>
          <w:sz w:val="18"/>
          <w:szCs w:val="18"/>
        </w:rPr>
        <w:t>Wadium: 21.000,00 zł (wniesione w pieniądzu)</w:t>
      </w:r>
    </w:p>
    <w:p w:rsidR="00F25A33" w:rsidRDefault="00845B47">
      <w:pPr>
        <w:pStyle w:val="Standard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Opis nieruchomości: </w:t>
      </w:r>
      <w:r>
        <w:rPr>
          <w:rFonts w:cs="Tahoma"/>
          <w:sz w:val="18"/>
          <w:szCs w:val="18"/>
        </w:rPr>
        <w:t xml:space="preserve">Nieruchomość zabudowana jest dwoma budynkami produkcyjno-magazynowymi. Budynek </w:t>
      </w:r>
      <w:proofErr w:type="spellStart"/>
      <w:r>
        <w:rPr>
          <w:rFonts w:cs="Tahoma"/>
          <w:sz w:val="18"/>
          <w:szCs w:val="18"/>
        </w:rPr>
        <w:t>Bs</w:t>
      </w:r>
      <w:proofErr w:type="spellEnd"/>
      <w:r>
        <w:rPr>
          <w:rFonts w:cs="Tahoma"/>
          <w:sz w:val="18"/>
          <w:szCs w:val="18"/>
        </w:rPr>
        <w:t xml:space="preserve"> 31  o pow. użytkowej 610,69 </w:t>
      </w:r>
      <w:r>
        <w:rPr>
          <w:rFonts w:cs="Tahoma"/>
          <w:sz w:val="18"/>
          <w:szCs w:val="18"/>
          <w:vertAlign w:val="superscript"/>
        </w:rPr>
        <w:t xml:space="preserve"> </w:t>
      </w:r>
      <w:r>
        <w:rPr>
          <w:rFonts w:cs="Tahoma"/>
          <w:sz w:val="18"/>
          <w:szCs w:val="18"/>
        </w:rPr>
        <w:t>m</w:t>
      </w:r>
      <w:r>
        <w:rPr>
          <w:rFonts w:cs="Tahoma"/>
          <w:sz w:val="18"/>
          <w:szCs w:val="18"/>
          <w:vertAlign w:val="superscript"/>
        </w:rPr>
        <w:t xml:space="preserve">2. </w:t>
      </w:r>
      <w:r>
        <w:rPr>
          <w:rFonts w:cs="Tahoma"/>
          <w:sz w:val="18"/>
          <w:szCs w:val="18"/>
        </w:rPr>
        <w:t xml:space="preserve">, murowany, niepodpiwniczony, parterowy, funkcjonalnie podzielony na dwie części wysoką (hala) i niską (pomieszczenia socjalne). Budynek Bs-7B o pow. użytkowej 1152,04m² , murowany, częściowo podpiwniczony, parterowy </w:t>
      </w:r>
      <w:r w:rsidR="00310384">
        <w:rPr>
          <w:rFonts w:cs="Tahoma"/>
          <w:sz w:val="18"/>
          <w:szCs w:val="18"/>
        </w:rPr>
        <w:br/>
      </w:r>
      <w:r>
        <w:rPr>
          <w:rFonts w:cs="Tahoma"/>
          <w:sz w:val="18"/>
          <w:szCs w:val="18"/>
        </w:rPr>
        <w:t>z niepełnym stropem.(tzw. Antresola). Posiada dwie piwnice.</w:t>
      </w:r>
      <w:r>
        <w:rPr>
          <w:sz w:val="18"/>
          <w:szCs w:val="18"/>
        </w:rPr>
        <w:t xml:space="preserve"> W obu budynkach dach płaski kryty papą, pokrycie zniszczone. Okna, wrota bardzo zniszczone, brak szyb, skrzydła drzwi powyrywane. Stan budynków oceniony jako zły.</w:t>
      </w:r>
    </w:p>
    <w:p w:rsidR="00F25A33" w:rsidRDefault="00845B47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Teren nieruchomości nieuporządkowany, nieogrodzony, częściowo alesiony9przemysł-Ba-0,4752 ha, las-</w:t>
      </w:r>
      <w:proofErr w:type="spellStart"/>
      <w:r>
        <w:rPr>
          <w:sz w:val="18"/>
          <w:szCs w:val="18"/>
        </w:rPr>
        <w:t>Ls</w:t>
      </w:r>
      <w:proofErr w:type="spellEnd"/>
      <w:r>
        <w:rPr>
          <w:sz w:val="18"/>
          <w:szCs w:val="18"/>
        </w:rPr>
        <w:t xml:space="preserve"> IV-0,1276 ha) porośnięty krzakami,</w:t>
      </w:r>
      <w:r w:rsidR="00310384">
        <w:rPr>
          <w:sz w:val="18"/>
          <w:szCs w:val="18"/>
        </w:rPr>
        <w:t xml:space="preserve"> </w:t>
      </w:r>
      <w:r>
        <w:rPr>
          <w:sz w:val="18"/>
          <w:szCs w:val="18"/>
        </w:rPr>
        <w:t>przed budynkami niewielki teren utwardzony. Nieruchomość posiada dostęp do sieci wodociągowej, możliwość podłączenie do sieci kanalizacyjnej  i elektrycznej.</w:t>
      </w:r>
    </w:p>
    <w:p w:rsidR="00F25A33" w:rsidRDefault="00845B47">
      <w:pPr>
        <w:pStyle w:val="Standard"/>
        <w:tabs>
          <w:tab w:val="left" w:pos="720"/>
        </w:tabs>
        <w:jc w:val="both"/>
      </w:pPr>
      <w:r>
        <w:rPr>
          <w:b/>
          <w:bCs/>
          <w:sz w:val="18"/>
          <w:szCs w:val="18"/>
        </w:rPr>
        <w:t xml:space="preserve">Przetarg odbędzie się w dniu 25 marca  2020r.  o godz. 10 </w:t>
      </w:r>
      <w:r>
        <w:rPr>
          <w:b/>
          <w:bCs/>
          <w:sz w:val="18"/>
          <w:szCs w:val="18"/>
          <w:u w:val="single"/>
          <w:vertAlign w:val="superscript"/>
        </w:rPr>
        <w:t>00</w:t>
      </w:r>
      <w:r>
        <w:rPr>
          <w:b/>
          <w:bCs/>
          <w:sz w:val="18"/>
          <w:szCs w:val="18"/>
          <w:vertAlign w:val="superscript"/>
        </w:rPr>
        <w:t xml:space="preserve">  </w:t>
      </w:r>
      <w:r>
        <w:rPr>
          <w:b/>
          <w:bCs/>
          <w:sz w:val="18"/>
          <w:szCs w:val="18"/>
        </w:rPr>
        <w:t>w siedzibie Urzędu Miasta Pionki  Al. Jana Pawła II Nr 15 ,  pok. nr 213.</w:t>
      </w:r>
    </w:p>
    <w:p w:rsidR="00F25A33" w:rsidRDefault="00845B47">
      <w:pPr>
        <w:pStyle w:val="NormalnyWeb"/>
        <w:shd w:val="clear" w:color="auto" w:fill="FFFFFF"/>
        <w:spacing w:before="0" w:after="0"/>
        <w:jc w:val="both"/>
      </w:pPr>
      <w:r>
        <w:rPr>
          <w:color w:val="000000"/>
          <w:sz w:val="18"/>
          <w:szCs w:val="18"/>
          <w:shd w:val="clear" w:color="auto" w:fill="FFFFFF"/>
        </w:rPr>
        <w:t xml:space="preserve">W przetargu mogą wziąć udział osoby, które wpłacą wadium w podanej wyżej wysokości, </w:t>
      </w:r>
      <w:r>
        <w:rPr>
          <w:color w:val="000000"/>
          <w:sz w:val="18"/>
          <w:szCs w:val="18"/>
        </w:rPr>
        <w:t xml:space="preserve">w taki sposób, aby najpóźniej w dniu </w:t>
      </w:r>
    </w:p>
    <w:p w:rsidR="00F25A33" w:rsidRDefault="00845B47">
      <w:pPr>
        <w:pStyle w:val="NormalnyWeb"/>
        <w:shd w:val="clear" w:color="auto" w:fill="FFFFFF"/>
        <w:spacing w:before="0" w:after="0"/>
        <w:jc w:val="both"/>
      </w:pPr>
      <w:r>
        <w:rPr>
          <w:b/>
          <w:bCs/>
          <w:color w:val="000000"/>
          <w:sz w:val="18"/>
          <w:szCs w:val="18"/>
        </w:rPr>
        <w:t>20 marca 2020</w:t>
      </w:r>
      <w:r>
        <w:rPr>
          <w:rStyle w:val="Pogrubienie"/>
          <w:color w:val="000000"/>
          <w:sz w:val="18"/>
          <w:szCs w:val="18"/>
        </w:rPr>
        <w:t xml:space="preserve"> r.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wadium znajdowało się na rachunku bankowym Miasta Pionki nr </w:t>
      </w:r>
      <w:r>
        <w:rPr>
          <w:b/>
          <w:bCs/>
          <w:sz w:val="18"/>
          <w:szCs w:val="18"/>
        </w:rPr>
        <w:t>04 9141 0005 0000 0231 2000 0100</w:t>
      </w:r>
      <w:r>
        <w:rPr>
          <w:color w:val="000000"/>
          <w:sz w:val="18"/>
          <w:szCs w:val="18"/>
        </w:rPr>
        <w:t>, pod  rygorem uznania, że warunek wpłaty wadium nie został spełniony.</w:t>
      </w:r>
    </w:p>
    <w:p w:rsidR="00F25A33" w:rsidRDefault="00845B47">
      <w:pPr>
        <w:pStyle w:val="NormalnyWeb"/>
        <w:shd w:val="clear" w:color="auto" w:fill="FFFFFF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Przed otwarciem przetargu jego uczestnik winien przedłożyć komisji przetargowej dowód tożsamości. </w:t>
      </w:r>
      <w:r>
        <w:rPr>
          <w:color w:val="000000"/>
          <w:sz w:val="18"/>
          <w:szCs w:val="18"/>
        </w:rPr>
        <w:t>W przypadku, gdy uczestnikiem przetargu jest osoba inna niż osoba fizyczna, osoba upoważniona do reprezentowania uczestnika powinna przedłożyć do wglądu aktualny wypis z Krajowego Rejestru Sądowego,  a osoba prowadząca działalność gospodarczą zaświadczenie o wpisie do ewidencji działalności gospodarczej.</w:t>
      </w:r>
    </w:p>
    <w:p w:rsidR="00F25A33" w:rsidRDefault="00845B47">
      <w:pPr>
        <w:pStyle w:val="NormalnyWeb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Jeżeli uczestnik jest reprezentowany przez pełnomocnika, konieczne jest przedłożenie oryginału pełnomocnictwa upoważniającego do działania na każdym etapie postępowania przetargowego.</w:t>
      </w:r>
    </w:p>
    <w:p w:rsidR="00F25A33" w:rsidRDefault="00845B47">
      <w:pPr>
        <w:pStyle w:val="NormalnyWeb"/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sz w:val="18"/>
          <w:szCs w:val="18"/>
        </w:rPr>
        <w:t>W przypadku małżeństw wymagana jest obecność obojga małżonków lub jednego z nich posiadającego   pisemne                                    upoważnienie współmałżonka do udziału w przetargu  i dokonywania postąpień.</w:t>
      </w:r>
    </w:p>
    <w:p w:rsidR="00F25A33" w:rsidRDefault="00845B47">
      <w:pPr>
        <w:pStyle w:val="NormalnyWeb"/>
        <w:shd w:val="clear" w:color="auto" w:fill="FFFFFF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Wadium wpłacone przez uczestnika, który przetarg wygrał, zalicza się na poczet ceny nabycia nieruchomości.</w:t>
      </w:r>
      <w:r>
        <w:rPr>
          <w:sz w:val="18"/>
          <w:szCs w:val="18"/>
        </w:rPr>
        <w:br/>
        <w:t>Pozostałym uczestnikom przetargu wadium zostanie zwrócone  w ciągu 3 dni od odwołania, zamknięcia, unieważnienia lub zakończenia przetargu wynikiem negatywnym, w sposób odpowiadający formie wnoszenia.</w:t>
      </w:r>
      <w:r>
        <w:rPr>
          <w:color w:val="000000"/>
          <w:sz w:val="18"/>
          <w:szCs w:val="18"/>
          <w:shd w:val="clear" w:color="auto" w:fill="FFFFFF"/>
        </w:rPr>
        <w:t xml:space="preserve"> Przetarg jest ważny bez względu na</w:t>
      </w:r>
      <w:r w:rsidR="00310384">
        <w:rPr>
          <w:color w:val="000000"/>
          <w:sz w:val="18"/>
          <w:szCs w:val="18"/>
          <w:shd w:val="clear" w:color="auto" w:fill="FFFFFF"/>
        </w:rPr>
        <w:br/>
      </w:r>
      <w:r>
        <w:rPr>
          <w:color w:val="000000"/>
          <w:sz w:val="18"/>
          <w:szCs w:val="18"/>
          <w:shd w:val="clear" w:color="auto" w:fill="FFFFFF"/>
        </w:rPr>
        <w:t xml:space="preserve">liczbę uczestników przetargu, jeżeli przynajmniej jeden uczestnik zaoferuje co najmniej jedno postąpienie powyżej ceny wywoławczej. </w:t>
      </w:r>
      <w:r>
        <w:rPr>
          <w:color w:val="000000"/>
          <w:sz w:val="18"/>
          <w:szCs w:val="18"/>
          <w:shd w:val="clear" w:color="auto" w:fill="FFFFFF"/>
        </w:rPr>
        <w:br/>
        <w:t xml:space="preserve">O wysokości postąpienia decydują uczestnicy przetargu, z tym że postąpienie nie może wynosić mniej niż 1% ceny wywoławczej, </w:t>
      </w:r>
      <w:r>
        <w:rPr>
          <w:color w:val="000000"/>
          <w:sz w:val="18"/>
          <w:szCs w:val="18"/>
          <w:shd w:val="clear" w:color="auto" w:fill="FFFFFF"/>
        </w:rPr>
        <w:br/>
        <w:t xml:space="preserve">z zaokrągleniem w górę do pełnych dziesiątek złotych. </w:t>
      </w:r>
      <w:r>
        <w:rPr>
          <w:sz w:val="18"/>
          <w:szCs w:val="18"/>
        </w:rPr>
        <w:t xml:space="preserve">Cena nieruchomości ustalona w przetargu podlega zapłacie nie później niż do dnia zawarcia umowy przenoszącej własność. O terminie zawarcia umowy notarialnej nabywca zostanie zawiadomiony  w terminie do 21 dni od dnia rozstrzygnięcia przetargu. Jeżeli osoba ustalona jako nabywca nieruchomości nie przystąpi bez usprawiedliwienia do zawarcia umowy w miejscu i w terminie podanym w zawiadomieniu, organizator przetargu może odstąpić od zawarcia umowy, </w:t>
      </w:r>
      <w:r>
        <w:rPr>
          <w:sz w:val="18"/>
          <w:szCs w:val="18"/>
        </w:rPr>
        <w:br/>
        <w:t>a wpłacone wadium nie podlega zwrotowi.</w:t>
      </w:r>
    </w:p>
    <w:p w:rsidR="00F25A33" w:rsidRDefault="00845B47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>
        <w:rPr>
          <w:sz w:val="18"/>
          <w:szCs w:val="18"/>
        </w:rPr>
        <w:t>Wszelkie koszty związane z nabyciem nieruchomości ponosi Nabywca nieruchomości.</w:t>
      </w:r>
    </w:p>
    <w:p w:rsidR="00F25A33" w:rsidRDefault="00845B47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>
        <w:rPr>
          <w:sz w:val="18"/>
          <w:szCs w:val="18"/>
        </w:rPr>
        <w:t>Burmistrz Miasta zastrzega sobie prawo możliwości odwołania przetargu z ważnych powodów.</w:t>
      </w:r>
    </w:p>
    <w:p w:rsidR="00F25A33" w:rsidRDefault="00845B47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>
        <w:rPr>
          <w:sz w:val="18"/>
          <w:szCs w:val="18"/>
        </w:rPr>
        <w:t>Szczegółowe informacje o przedmiocie i warunkach przetargu można uzyskać w Wydziale Rozwoju, Inwestycji i Gospodarowania Mieniem Gminy pok. nr 213  lub telefonicznie (0-48) 341 42 15 i  48 341 42 19.</w:t>
      </w:r>
    </w:p>
    <w:p w:rsidR="00F25A33" w:rsidRDefault="00845B47">
      <w:pPr>
        <w:pStyle w:val="Standard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</w:p>
    <w:p w:rsidR="00F25A33" w:rsidRDefault="00F25A33">
      <w:pPr>
        <w:pStyle w:val="Standard"/>
        <w:jc w:val="both"/>
        <w:rPr>
          <w:sz w:val="18"/>
          <w:szCs w:val="18"/>
        </w:rPr>
      </w:pPr>
    </w:p>
    <w:p w:rsidR="00F25A33" w:rsidRDefault="00845B47">
      <w:pPr>
        <w:pStyle w:val="Standard"/>
        <w:jc w:val="both"/>
      </w:pPr>
      <w:r>
        <w:rPr>
          <w:sz w:val="18"/>
          <w:szCs w:val="18"/>
        </w:rPr>
        <w:t xml:space="preserve">Pionki, dnia 19.02.2020 r.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Burmistrz Miasta Pionki</w:t>
      </w:r>
    </w:p>
    <w:p w:rsidR="00F25A33" w:rsidRDefault="00845B47">
      <w:pPr>
        <w:pStyle w:val="Standard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Robert Kowalczyk</w:t>
      </w:r>
    </w:p>
    <w:p w:rsidR="00F25A33" w:rsidRDefault="00845B47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25A33" w:rsidRDefault="00F25A33"/>
    <w:sectPr w:rsidR="00F25A33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6C8"/>
    <w:multiLevelType w:val="multilevel"/>
    <w:tmpl w:val="B1743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FB7AF4"/>
    <w:multiLevelType w:val="multilevel"/>
    <w:tmpl w:val="5208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33"/>
    <w:rsid w:val="002306D8"/>
    <w:rsid w:val="00310384"/>
    <w:rsid w:val="00845B47"/>
    <w:rsid w:val="00856503"/>
    <w:rsid w:val="00F2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EA421-7963-4B17-8045-37698862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6166EE"/>
  </w:style>
  <w:style w:type="character" w:styleId="Pogrubienie">
    <w:name w:val="Strong"/>
    <w:basedOn w:val="Domylnaczcionkaakapitu"/>
    <w:qFormat/>
    <w:rsid w:val="006166E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34EB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1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166E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qFormat/>
    <w:rsid w:val="006166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34E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Zygadlo</dc:creator>
  <dc:description/>
  <cp:lastModifiedBy>Danuta Zygadlo</cp:lastModifiedBy>
  <cp:revision>5</cp:revision>
  <cp:lastPrinted>2020-02-21T08:48:00Z</cp:lastPrinted>
  <dcterms:created xsi:type="dcterms:W3CDTF">2020-02-21T08:46:00Z</dcterms:created>
  <dcterms:modified xsi:type="dcterms:W3CDTF">2020-02-24T13:39:00Z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