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</w:rPr>
      </w:pPr>
      <w:r>
        <w:rPr>
          <w:rFonts w:eastAsia="TimesNewRomanPSMT;Times New Roman" w:cs="TimesNewRomanPSMT;Times New Roman" w:ascii="Times New Roman" w:hAnsi="Times New Roman"/>
          <w:spacing w:val="3"/>
          <w:sz w:val="20"/>
          <w:szCs w:val="20"/>
        </w:rPr>
        <w:tab/>
        <w:tab/>
        <w:tab/>
        <w:tab/>
        <w:tab/>
        <w:tab/>
        <w:tab/>
        <w:tab/>
        <w:tab/>
      </w:r>
      <w:r>
        <w:rPr>
          <w:rFonts w:eastAsia="TimesNewRomanPSMT;Times New Roman" w:cs="TimesNewRomanPSMT;Times New Roman" w:ascii="Times New Roman" w:hAnsi="Times New Roman"/>
          <w:spacing w:val="3"/>
          <w:sz w:val="24"/>
          <w:szCs w:val="24"/>
        </w:rPr>
        <w:t xml:space="preserve">   Pionki, dnia 25.02.2026r.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KŚ.6220.9.2022/26</w:t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POSTANOWIENIE</w:t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o zawieszeniu postępowania w sprawie wydania decyzji </w:t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o środowiskowych uwarunkowaniach</w:t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jc w:val="both"/>
        <w:rPr/>
      </w:pP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Na podstawie art. 86 d. ust. 1 pkt. 1 ustawy z dnia 3 października 2008r.                     o udostępnianiu informacji o środowisku i jego ochronie, udziale społeczeństwa w ochronie środowiska oraz o ocenach oddziaływania na środowisko </w:t>
      </w:r>
      <w:r>
        <w:rPr>
          <w:rFonts w:ascii="Times New Roman" w:hAnsi="Times New Roman"/>
          <w:b w:val="false"/>
          <w:bCs w:val="false"/>
          <w:caps w:val="false"/>
          <w:smallCaps w:val="false"/>
          <w:color w:val="000000"/>
          <w:spacing w:val="0"/>
          <w:sz w:val="24"/>
          <w:szCs w:val="24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(t.j. Dz. U. z 2024 r. poz. 1112        z późn. zm.).</w:t>
      </w:r>
      <w:r>
        <w:rPr>
          <w:b w:val="false"/>
          <w:bCs w:val="false"/>
          <w:color w:val="000000"/>
        </w:rPr>
        <w:t xml:space="preserve"> </w:t>
      </w: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>dalej zwaną ustawą OOŚ:</w:t>
      </w:r>
    </w:p>
    <w:p>
      <w:pPr>
        <w:pStyle w:val="Normal"/>
        <w:spacing w:before="0" w:after="0"/>
        <w:jc w:val="both"/>
        <w:rPr>
          <w:rFonts w:ascii="Times New Roman" w:hAnsi="Times New Roman"/>
          <w:b w:val="false"/>
          <w:b w:val="false"/>
          <w:bCs w:val="false"/>
          <w:color w:val="000000"/>
          <w:sz w:val="24"/>
          <w:szCs w:val="24"/>
        </w:rPr>
      </w:pP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</w:r>
    </w:p>
    <w:p>
      <w:pPr>
        <w:pStyle w:val="Normal"/>
        <w:spacing w:before="0" w:after="0"/>
        <w:jc w:val="center"/>
        <w:rPr>
          <w:b/>
          <w:b/>
          <w:bCs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postanawiam</w:t>
      </w:r>
    </w:p>
    <w:p>
      <w:pPr>
        <w:pStyle w:val="Normal"/>
        <w:spacing w:before="0" w:after="0"/>
        <w:jc w:val="center"/>
        <w:rPr>
          <w:rFonts w:ascii="Times New Roman" w:hAnsi="Times New Roman"/>
          <w:b w:val="false"/>
          <w:b w:val="false"/>
          <w:bCs w:val="false"/>
          <w:color w:val="000000"/>
          <w:sz w:val="24"/>
          <w:szCs w:val="24"/>
        </w:rPr>
      </w:pP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</w:r>
    </w:p>
    <w:p>
      <w:pPr>
        <w:pStyle w:val="Normal"/>
        <w:spacing w:before="0" w:after="0"/>
        <w:jc w:val="both"/>
        <w:rPr>
          <w:b/>
          <w:b/>
          <w:bCs/>
        </w:rPr>
      </w:pP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>zawiesić  postępowanie w sprawie o wydanie decyzji o środowiskowych uwarunkowaniach realizacji przedsięwzięcia pn: „ Budowa elewatora zbożowego o pojemności ok. 210 tysięcy ton wraz z niezbędną infrastrukturą w mieście Pionki” na dz. ew. 1464/524, część dz. ew. 1464/525, 1464/526, 1464/527, 1464/528 położonych w Pionkach, pow. radomski, woj. mazowieckie.</w:t>
      </w:r>
    </w:p>
    <w:p>
      <w:pPr>
        <w:pStyle w:val="Normal"/>
        <w:spacing w:before="0" w:after="0"/>
        <w:jc w:val="center"/>
        <w:rPr>
          <w:rFonts w:ascii="Times New Roman" w:hAnsi="Times New Roman"/>
          <w:b w:val="false"/>
          <w:b w:val="false"/>
          <w:bCs w:val="false"/>
          <w:color w:val="000000"/>
          <w:sz w:val="24"/>
          <w:szCs w:val="24"/>
        </w:rPr>
      </w:pP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</w:r>
    </w:p>
    <w:p>
      <w:pPr>
        <w:pStyle w:val="Normal"/>
        <w:spacing w:before="0" w:after="0"/>
        <w:jc w:val="center"/>
        <w:rPr>
          <w:b/>
          <w:b/>
          <w:bCs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Uzasadnienie</w:t>
      </w:r>
    </w:p>
    <w:p>
      <w:pPr>
        <w:pStyle w:val="Normal"/>
        <w:spacing w:before="0" w:after="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spacing w:before="0" w:after="0"/>
        <w:jc w:val="both"/>
        <w:rPr>
          <w:b w:val="false"/>
          <w:b w:val="false"/>
          <w:bCs w:val="false"/>
        </w:rPr>
      </w:pP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>Zgodnie z art. 86 d ust. 1 pkt. 1 ustawy OOŚ, organ właściwy do wydania decyzji                    o środowiskowych uwarunkowaniach na wniosek z dnia 19.02.2026r. podmiotu planującego podjęcie realizacji przedsięwzięcia, zawiesza postępowanie w sprawie wydania decyzji           o środowiskowych uwarunkowaniach jeżeli nie zagraża to interesowi społecznemu.</w:t>
      </w:r>
    </w:p>
    <w:p>
      <w:pPr>
        <w:pStyle w:val="Normal"/>
        <w:spacing w:before="0"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spacing w:before="0" w:after="0"/>
        <w:jc w:val="both"/>
        <w:rPr>
          <w:b w:val="false"/>
          <w:b w:val="false"/>
          <w:bCs w:val="false"/>
        </w:rPr>
      </w:pP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>Mając na względzie  art. 86 d. ust. 1 pkt. 1 w/w ustawy organ zawiesił postępowanie stwierdzając, że w okolicznościach sprawy zawieszenie postępowania nie zagraża interesowi społecznemu.</w:t>
      </w:r>
    </w:p>
    <w:p>
      <w:pPr>
        <w:pStyle w:val="Normal"/>
        <w:spacing w:before="0"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spacing w:before="0" w:after="0"/>
        <w:jc w:val="center"/>
        <w:rPr>
          <w:b/>
          <w:b/>
          <w:bCs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Pouczenie</w:t>
      </w:r>
    </w:p>
    <w:p>
      <w:pPr>
        <w:pStyle w:val="Normal"/>
        <w:spacing w:before="0" w:after="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</w:rPr>
      </w:pPr>
      <w:r>
        <w:rPr>
          <w:rFonts w:eastAsia="TimesNewRomanPSMT;Times New Roman" w:cs="TimesNewRomanPSMT;Times New Roman" w:ascii="Times New Roman" w:hAnsi="Times New Roman"/>
          <w:b w:val="false"/>
          <w:bCs w:val="false"/>
          <w:color w:val="000000"/>
          <w:spacing w:val="3"/>
          <w:sz w:val="24"/>
          <w:szCs w:val="24"/>
        </w:rPr>
        <w:t>Na niniejsze postanowienie nie przysługuje zażalenie.</w:t>
      </w:r>
    </w:p>
    <w:p>
      <w:pPr>
        <w:pStyle w:val="Normal"/>
        <w:spacing w:before="0" w:after="16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tLeast" w:line="200" w:before="0" w:after="0"/>
        <w:jc w:val="both"/>
        <w:rPr>
          <w:rFonts w:ascii="TimesNewRomanPSMT;Times New Roman" w:hAnsi="TimesNewRomanPSMT;Times New Roman" w:eastAsia="TimesNewRomanPSMT;Times New Roman" w:cs="TimesNewRomanPSMT;Times New Roman"/>
          <w:spacing w:val="3"/>
          <w:sz w:val="20"/>
          <w:szCs w:val="20"/>
          <w:u w:val="none"/>
          <w:lang w:eastAsia="zxx" w:bidi="ar-SA"/>
        </w:rPr>
      </w:pPr>
      <w:r>
        <w:rPr>
          <w:rFonts w:eastAsia="TimesNewRomanPSMT;Times New Roman" w:cs="TimesNewRomanPSMT;Times New Roman" w:ascii="TimesNewRomanPSMT;Times New Roman" w:hAnsi="TimesNewRomanPSMT;Times New Roman"/>
          <w:spacing w:val="3"/>
          <w:sz w:val="20"/>
          <w:szCs w:val="20"/>
          <w:u w:val="none"/>
          <w:lang w:eastAsia="zxx" w:bidi="ar-SA"/>
        </w:rPr>
        <w:tab/>
        <w:tab/>
        <w:tab/>
        <w:tab/>
        <w:tab/>
        <w:tab/>
        <w:tab/>
        <w:tab/>
      </w:r>
      <w:r>
        <w:rPr>
          <w:rFonts w:eastAsia="TimesNewRomanPSMT;Times New Roman" w:cs="TimesNewRomanPSMT;Times New Roman" w:ascii="Times New Roman" w:hAnsi="Times New Roman"/>
          <w:spacing w:val="3"/>
          <w:sz w:val="24"/>
          <w:szCs w:val="24"/>
          <w:u w:val="none"/>
          <w:lang w:eastAsia="zxx" w:bidi="ar-SA"/>
        </w:rPr>
        <w:t>Burmistrz Miasta Pionki</w:t>
      </w:r>
    </w:p>
    <w:p>
      <w:pPr>
        <w:pStyle w:val="Normal"/>
        <w:spacing w:lineRule="atLeast" w:line="200" w:before="0" w:after="0"/>
        <w:jc w:val="both"/>
        <w:rPr>
          <w:rFonts w:ascii="Times New Roman" w:hAnsi="Times New Roman" w:eastAsia="TimesNewRomanPSMT;Times New Roman" w:cs="TimesNewRomanPSMT;Times New Roman"/>
          <w:spacing w:val="3"/>
          <w:sz w:val="20"/>
          <w:szCs w:val="20"/>
          <w:u w:val="none"/>
          <w:lang w:eastAsia="zxx" w:bidi="ar-SA"/>
        </w:rPr>
      </w:pPr>
      <w:r>
        <w:rPr>
          <w:rFonts w:eastAsia="TimesNewRomanPSMT;Times New Roman" w:cs="TimesNewRomanPSMT;Times New Roman" w:ascii="Times New Roman" w:hAnsi="Times New Roman"/>
          <w:spacing w:val="3"/>
          <w:sz w:val="24"/>
          <w:szCs w:val="24"/>
          <w:u w:val="none"/>
          <w:lang w:eastAsia="zxx" w:bidi="ar-SA"/>
        </w:rPr>
        <w:tab/>
        <w:tab/>
        <w:tab/>
        <w:tab/>
        <w:tab/>
        <w:tab/>
        <w:tab/>
        <w:tab/>
        <w:t>Łukasz Miśkiewicz</w:t>
      </w:r>
    </w:p>
    <w:p>
      <w:pPr>
        <w:pStyle w:val="Normal"/>
        <w:spacing w:lineRule="atLeast" w:line="200"/>
        <w:jc w:val="both"/>
        <w:rPr>
          <w:rFonts w:ascii="Times New Roman" w:hAnsi="Times New Roman" w:eastAsia="TimesNewRomanPSMT;Times New Roman" w:cs="TimesNewRomanPSMT;Times New Roman"/>
          <w:spacing w:val="3"/>
          <w:sz w:val="20"/>
          <w:szCs w:val="20"/>
          <w:u w:val="none"/>
          <w:lang w:eastAsia="zxx" w:bidi="ar-SA"/>
        </w:rPr>
      </w:pPr>
      <w:r>
        <w:rPr>
          <w:rFonts w:eastAsia="TimesNewRomanPSMT;Times New Roman" w:cs="TimesNewRomanPSMT;Times New Roman" w:ascii="Times New Roman" w:hAnsi="Times New Roman"/>
          <w:spacing w:val="3"/>
          <w:sz w:val="24"/>
          <w:szCs w:val="24"/>
          <w:u w:val="none"/>
          <w:lang w:eastAsia="zxx" w:bidi="ar-SA"/>
        </w:rPr>
        <w:tab/>
        <w:tab/>
        <w:tab/>
        <w:tab/>
        <w:tab/>
        <w:tab/>
        <w:tab/>
        <w:t>(podpisano podpisem elektronicznym)</w:t>
      </w:r>
    </w:p>
    <w:p>
      <w:pPr>
        <w:pStyle w:val="Normal"/>
        <w:spacing w:lineRule="atLeast" w:line="200"/>
        <w:jc w:val="both"/>
        <w:rPr>
          <w:rFonts w:ascii="Times New Roman" w:hAnsi="Times New Roman" w:eastAsia="TimesNewRomanPSMT;Times New Roman" w:cs="TimesNewRomanPSMT;Times New Roman"/>
          <w:spacing w:val="3"/>
          <w:sz w:val="20"/>
          <w:szCs w:val="20"/>
          <w:u w:val="single"/>
          <w:lang w:eastAsia="zxx" w:bidi="ar-SA"/>
        </w:rPr>
      </w:pPr>
      <w:r>
        <w:rPr>
          <w:rFonts w:eastAsia="TimesNewRomanPSMT;Times New Roman" w:cs="TimesNewRomanPSMT;Times New Roman" w:ascii="Times New Roman" w:hAnsi="Times New Roman"/>
          <w:spacing w:val="3"/>
          <w:sz w:val="20"/>
          <w:szCs w:val="20"/>
          <w:u w:val="single"/>
          <w:lang w:eastAsia="zxx" w:bidi="ar-SA"/>
        </w:rPr>
      </w:r>
    </w:p>
    <w:p>
      <w:pPr>
        <w:pStyle w:val="Normal"/>
        <w:spacing w:lineRule="atLeast" w:line="200"/>
        <w:jc w:val="both"/>
        <w:rPr>
          <w:rFonts w:ascii="TimesNewRomanPSMT;Times New Roman" w:hAnsi="TimesNewRomanPSMT;Times New Roman" w:eastAsia="TimesNewRomanPSMT;Times New Roman" w:cs="TimesNewRomanPSMT;Times New Roman"/>
          <w:spacing w:val="3"/>
          <w:sz w:val="20"/>
          <w:szCs w:val="20"/>
          <w:u w:val="single"/>
          <w:lang w:eastAsia="zxx" w:bidi="ar-SA"/>
        </w:rPr>
      </w:pPr>
      <w:r>
        <w:rPr>
          <w:rFonts w:eastAsia="TimesNewRomanPSMT;Times New Roman" w:cs="TimesNewRomanPSMT;Times New Roman" w:ascii="TimesNewRomanPSMT;Times New Roman" w:hAnsi="TimesNewRomanPSMT;Times New Roman"/>
          <w:spacing w:val="3"/>
          <w:sz w:val="20"/>
          <w:szCs w:val="20"/>
          <w:u w:val="single"/>
          <w:lang w:eastAsia="zxx" w:bidi="ar-SA"/>
        </w:rPr>
      </w:r>
    </w:p>
    <w:p>
      <w:pPr>
        <w:pStyle w:val="Normal"/>
        <w:spacing w:lineRule="atLeast" w:line="200"/>
        <w:jc w:val="both"/>
        <w:rPr>
          <w:rFonts w:ascii="TimesNewRomanPSMT;Times New Roman" w:hAnsi="TimesNewRomanPSMT;Times New Roman" w:eastAsia="TimesNewRomanPSMT;Times New Roman" w:cs="TimesNewRomanPSMT;Times New Roman"/>
          <w:spacing w:val="3"/>
          <w:sz w:val="20"/>
          <w:szCs w:val="20"/>
          <w:u w:val="single"/>
          <w:lang w:eastAsia="zxx" w:bidi="ar-SA"/>
        </w:rPr>
      </w:pPr>
      <w:r>
        <w:rPr>
          <w:rFonts w:eastAsia="TimesNewRomanPSMT;Times New Roman" w:cs="TimesNewRomanPSMT;Times New Roman" w:ascii="TimesNewRomanPSMT;Times New Roman" w:hAnsi="TimesNewRomanPSMT;Times New Roman"/>
          <w:spacing w:val="3"/>
          <w:sz w:val="20"/>
          <w:szCs w:val="20"/>
          <w:u w:val="single"/>
          <w:lang w:eastAsia="zxx" w:bidi="ar-SA"/>
        </w:rPr>
        <w:t>Otrzymują: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720" w:leader="none"/>
        </w:tabs>
        <w:spacing w:lineRule="atLeast" w:line="200" w:before="0" w:after="0"/>
        <w:ind w:left="720" w:right="0" w:hanging="360"/>
        <w:jc w:val="both"/>
        <w:rPr>
          <w:rFonts w:ascii="Times New Roman" w:hAnsi="Times New Roman"/>
        </w:rPr>
      </w:pPr>
      <w:r>
        <w:rPr>
          <w:rFonts w:eastAsia="TimesNewRomanPSMT;Times New Roman" w:cs="TimesNewRomanPSMT;Times New Roman" w:ascii="Times New Roman" w:hAnsi="Times New Roman"/>
          <w:spacing w:val="3"/>
          <w:sz w:val="20"/>
          <w:szCs w:val="20"/>
          <w:lang w:eastAsia="zxx" w:bidi="ar-SA"/>
        </w:rPr>
        <w:t>Renata Bąk - Jaroszek - Pełnomocnik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720" w:leader="none"/>
        </w:tabs>
        <w:spacing w:lineRule="atLeast" w:line="200" w:before="0" w:after="0"/>
        <w:ind w:left="720" w:right="0" w:hanging="360"/>
        <w:jc w:val="both"/>
        <w:rPr>
          <w:rFonts w:ascii="Times New Roman" w:hAnsi="Times New Roman"/>
        </w:rPr>
      </w:pPr>
      <w:r>
        <w:rPr>
          <w:rFonts w:eastAsia="TimesNewRomanPSMT;Times New Roman" w:cs="TimesNewRomanPSMT;Times New Roman" w:ascii="Times New Roman" w:hAnsi="Times New Roman"/>
          <w:spacing w:val="3"/>
          <w:sz w:val="20"/>
          <w:szCs w:val="20"/>
          <w:lang w:eastAsia="zxx" w:bidi="ar-SA"/>
        </w:rPr>
        <w:t>Strony postępowania poprzez obwieszczenie.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720" w:leader="none"/>
        </w:tabs>
        <w:spacing w:lineRule="atLeast" w:line="200" w:before="0" w:after="0"/>
        <w:ind w:left="720" w:right="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RDOŚ w </w:t>
      </w:r>
      <w:r>
        <w:rPr>
          <w:rFonts w:cs="Times New Roman" w:ascii="Times New Roman" w:hAnsi="Times New Roman"/>
          <w:b w:val="false"/>
          <w:bCs w:val="false"/>
          <w:sz w:val="20"/>
          <w:szCs w:val="20"/>
        </w:rPr>
        <w:t xml:space="preserve"> Warszawie, Wydział Spraw Terenowych w Radomiu </w:t>
      </w:r>
      <w:r>
        <w:rPr>
          <w:rFonts w:cs="Times New Roman" w:ascii="Times New Roman" w:hAnsi="Times New Roman"/>
          <w:sz w:val="20"/>
          <w:szCs w:val="20"/>
        </w:rPr>
        <w:t xml:space="preserve">ul. 25 Czerwca 68, </w:t>
      </w:r>
      <w:r>
        <w:rPr>
          <w:rFonts w:eastAsia="TimesNewRomanPSMT;Times New Roman" w:cs="Times New Roman" w:ascii="Times New Roman" w:hAnsi="Times New Roman"/>
          <w:b w:val="false"/>
          <w:bCs w:val="false"/>
          <w:color w:val="000000"/>
          <w:spacing w:val="3"/>
          <w:sz w:val="20"/>
          <w:szCs w:val="20"/>
          <w:lang w:eastAsia="zxx" w:bidi="ar-SA"/>
        </w:rPr>
        <w:t>26-600 Radom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720" w:leader="none"/>
        </w:tabs>
        <w:spacing w:lineRule="atLeast" w:line="200" w:before="0" w:after="0"/>
        <w:ind w:left="720" w:right="0" w:hanging="360"/>
        <w:jc w:val="both"/>
        <w:rPr>
          <w:rFonts w:ascii="Times New Roman" w:hAnsi="Times New Roman"/>
        </w:rPr>
      </w:pPr>
      <w:r>
        <w:rPr>
          <w:rFonts w:eastAsia="TimesNewRomanPSMT;Times New Roman" w:cs="Times New Roman" w:ascii="Times New Roman" w:hAnsi="Times New Roman"/>
          <w:b w:val="false"/>
          <w:bCs w:val="false"/>
          <w:color w:val="000000"/>
          <w:spacing w:val="3"/>
          <w:sz w:val="20"/>
          <w:szCs w:val="20"/>
          <w:lang w:eastAsia="zxx" w:bidi="ar-SA"/>
        </w:rPr>
        <w:t>Powiatowy Inspektor Sanitarny ul. Okulickiego 9D, 26-600 Radom.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720" w:leader="none"/>
        </w:tabs>
        <w:spacing w:lineRule="atLeast" w:line="200" w:before="0" w:after="0"/>
        <w:ind w:left="720" w:right="0" w:hanging="360"/>
        <w:jc w:val="both"/>
        <w:rPr>
          <w:rFonts w:ascii="Times New Roman" w:hAnsi="Times New Roman"/>
        </w:rPr>
      </w:pPr>
      <w:r>
        <w:rPr>
          <w:rFonts w:eastAsia="TimesNewRomanPSMT;Times New Roman" w:cs="Times New Roman" w:ascii="Times New Roman" w:hAnsi="Times New Roman"/>
          <w:b w:val="false"/>
          <w:bCs w:val="false"/>
          <w:color w:val="000000"/>
          <w:spacing w:val="3"/>
          <w:sz w:val="20"/>
          <w:szCs w:val="20"/>
          <w:lang w:eastAsia="zxx" w:bidi="ar-SA"/>
        </w:rPr>
        <w:t>PGW – Wody Polskie Zarząd Zlewni Radom ul. Parkowa 2A, 26-600 Radom.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720" w:leader="none"/>
        </w:tabs>
        <w:spacing w:lineRule="atLeast" w:line="200" w:before="0" w:after="0"/>
        <w:ind w:left="720" w:right="0" w:hanging="360"/>
        <w:jc w:val="both"/>
        <w:rPr>
          <w:rFonts w:ascii="Times New Roman" w:hAnsi="Times New Roman"/>
        </w:rPr>
      </w:pPr>
      <w:r>
        <w:rPr>
          <w:rFonts w:eastAsia="TimesNewRomanPSMT;Times New Roman" w:cs="Times New Roman" w:ascii="Times New Roman" w:hAnsi="Times New Roman"/>
          <w:b w:val="false"/>
          <w:bCs w:val="false"/>
          <w:color w:val="000000"/>
          <w:spacing w:val="3"/>
          <w:sz w:val="20"/>
          <w:szCs w:val="20"/>
          <w:lang w:eastAsia="zxx" w:bidi="ar-SA"/>
        </w:rPr>
        <w:t>A/a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720" w:leader="none"/>
        </w:tabs>
        <w:spacing w:lineRule="auto" w:line="276" w:before="0" w:after="160"/>
        <w:ind w:left="0" w:right="0" w:hanging="0"/>
        <w:jc w:val="both"/>
        <w:rPr>
          <w:rFonts w:ascii="Times New Roman" w:hAnsi="Times New Roman" w:eastAsia="TimesNewRomanPSMT;Times New Roman" w:cs="TimesNewRomanPSMT;Times New Roman"/>
          <w:b w:val="false"/>
          <w:b w:val="false"/>
          <w:bCs w:val="false"/>
          <w:spacing w:val="3"/>
          <w:sz w:val="20"/>
          <w:szCs w:val="20"/>
          <w:lang w:eastAsia="zxx" w:bidi="ar-SA"/>
        </w:rPr>
      </w:pPr>
      <w:r>
        <w:rPr>
          <w:rFonts w:eastAsia="TimesNewRomanPSMT;Times New Roman" w:cs="TimesNewRomanPSMT;Times New Roman" w:ascii="Times New Roman" w:hAnsi="Times New Roman"/>
          <w:b w:val="false"/>
          <w:bCs w:val="false"/>
          <w:spacing w:val="3"/>
          <w:sz w:val="20"/>
          <w:szCs w:val="20"/>
          <w:lang w:eastAsia="zxx" w:bidi="ar-SA"/>
        </w:rPr>
      </w:r>
    </w:p>
    <w:p>
      <w:pPr>
        <w:pStyle w:val="NormalWeb"/>
        <w:spacing w:lineRule="auto" w:line="276" w:beforeAutospacing="0" w:before="0" w:afterAutospacing="0"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Web"/>
        <w:spacing w:lineRule="auto" w:line="276" w:beforeAutospacing="0" w:before="0" w:afterAutospacing="0" w:after="0"/>
        <w:jc w:val="both"/>
        <w:rPr>
          <w:rFonts w:ascii="Times New Roman" w:hAnsi="Times New Roman"/>
          <w:sz w:val="24"/>
          <w:szCs w:val="24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TimesNewRomanPSMT">
    <w:altName w:val="Times New Roman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jc w:val="right"/>
      <w:rPr/>
    </w:pPr>
    <w:r>
      <w:rPr>
        <w:color w:val="008000"/>
      </w:rPr>
      <w:t xml:space="preserve">Strona </w:t>
    </w:r>
    <w:r>
      <w:rPr>
        <w:b/>
        <w:bCs/>
        <w:color w:val="008000"/>
        <w:sz w:val="24"/>
        <w:szCs w:val="24"/>
      </w:rPr>
      <w:fldChar w:fldCharType="begin"/>
    </w:r>
    <w:r>
      <w:rPr>
        <w:sz w:val="24"/>
        <w:b/>
        <w:szCs w:val="24"/>
        <w:bCs/>
        <w:color w:val="008000"/>
      </w:rPr>
      <w:instrText xml:space="preserve"> PAGE </w:instrText>
    </w:r>
    <w:r>
      <w:rPr>
        <w:sz w:val="24"/>
        <w:b/>
        <w:szCs w:val="24"/>
        <w:bCs/>
        <w:color w:val="008000"/>
      </w:rPr>
      <w:fldChar w:fldCharType="separate"/>
    </w:r>
    <w:r>
      <w:rPr>
        <w:sz w:val="24"/>
        <w:b/>
        <w:szCs w:val="24"/>
        <w:bCs/>
        <w:color w:val="008000"/>
      </w:rPr>
      <w:t>2</w:t>
    </w:r>
    <w:r>
      <w:rPr>
        <w:sz w:val="24"/>
        <w:b/>
        <w:szCs w:val="24"/>
        <w:bCs/>
        <w:color w:val="008000"/>
      </w:rPr>
      <w:fldChar w:fldCharType="end"/>
    </w:r>
    <w:r>
      <w:rPr>
        <w:color w:val="008000"/>
      </w:rPr>
      <w:t xml:space="preserve"> z </w:t>
    </w:r>
    <w:r>
      <w:rPr>
        <w:b/>
        <w:bCs/>
        <w:color w:val="008000"/>
        <w:sz w:val="24"/>
        <w:szCs w:val="24"/>
      </w:rPr>
      <w:fldChar w:fldCharType="begin"/>
    </w:r>
    <w:r>
      <w:rPr>
        <w:sz w:val="24"/>
        <w:b/>
        <w:szCs w:val="24"/>
        <w:bCs/>
        <w:color w:val="008000"/>
      </w:rPr>
      <w:instrText xml:space="preserve"> NUMPAGES </w:instrText>
    </w:r>
    <w:r>
      <w:rPr>
        <w:sz w:val="24"/>
        <w:b/>
        <w:szCs w:val="24"/>
        <w:bCs/>
        <w:color w:val="008000"/>
      </w:rPr>
      <w:fldChar w:fldCharType="separate"/>
    </w:r>
    <w:r>
      <w:rPr>
        <w:sz w:val="24"/>
        <w:b/>
        <w:szCs w:val="24"/>
        <w:bCs/>
        <w:color w:val="008000"/>
      </w:rPr>
      <w:t>2</w:t>
    </w:r>
    <w:r>
      <w:rPr>
        <w:sz w:val="24"/>
        <w:b/>
        <w:szCs w:val="24"/>
        <w:bCs/>
        <w:color w:val="008000"/>
      </w:rPr>
      <w:fldChar w:fldCharType="end"/>
    </w:r>
  </w:p>
  <w:p>
    <w:pPr>
      <w:pStyle w:val="Stopk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jc w:val="center"/>
      <w:rPr/>
    </w:pPr>
    <w:r>
      <w:rPr/>
      <w:drawing>
        <wp:inline distT="0" distB="0" distL="0" distR="0">
          <wp:extent cx="5441315" cy="754380"/>
          <wp:effectExtent l="0" t="0" r="0" b="0"/>
          <wp:docPr id="1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41315" cy="754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sz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sz w:val="24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sz w:val="24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sz w:val="20"/>
        <w:spacing w:val="3"/>
        <w:szCs w:val="20"/>
        <w:rFonts w:ascii="TimesNewRomanPSMT;Times New Roman" w:hAnsi="TimesNewRomanPSMT;Times New Roman" w:eastAsia="TimesNewRomanPSMT;Times New Roman" w:cs="TimesNewRomanPSMT;Times New Roman"/>
        <w:lang w:eastAsia="zxx" w:bidi="ar-S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78"/>
  <w:defaultTabStop w:val="708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kern w:val="2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59" w:before="0" w:after="160"/>
      <w:jc w:val="left"/>
    </w:pPr>
    <w:rPr>
      <w:rFonts w:ascii="Calibri" w:hAnsi="Calibri" w:eastAsia="Calibri" w:cs="Tahoma"/>
      <w:color w:val="auto"/>
      <w:kern w:val="2"/>
      <w:sz w:val="22"/>
      <w:szCs w:val="22"/>
      <w:lang w:val="pl-PL" w:eastAsia="en-US" w:bidi="ar-SA"/>
    </w:rPr>
  </w:style>
  <w:style w:type="paragraph" w:styleId="Nagwek1">
    <w:name w:val="Heading 1"/>
    <w:basedOn w:val="Normal"/>
    <w:next w:val="Normal"/>
    <w:qFormat/>
    <w:pPr>
      <w:keepNext w:val="true"/>
      <w:numPr>
        <w:ilvl w:val="0"/>
        <w:numId w:val="1"/>
      </w:numPr>
      <w:jc w:val="both"/>
      <w:outlineLvl w:val="0"/>
    </w:pPr>
    <w:rPr>
      <w:rFonts w:cs="Arial"/>
      <w:b/>
      <w:bCs/>
      <w:sz w:val="20"/>
    </w:rPr>
  </w:style>
  <w:style w:type="paragraph" w:styleId="Nagwek3">
    <w:name w:val="Heading 3"/>
    <w:basedOn w:val="Normal"/>
    <w:next w:val="Normal"/>
    <w:qFormat/>
    <w:pPr>
      <w:keepNext w:val="true"/>
      <w:numPr>
        <w:ilvl w:val="2"/>
        <w:numId w:val="1"/>
      </w:numPr>
      <w:outlineLvl w:val="2"/>
    </w:pPr>
    <w:rPr>
      <w:sz w:val="20"/>
    </w:rPr>
  </w:style>
  <w:style w:type="paragraph" w:styleId="Nagwek4">
    <w:name w:val="Heading 4"/>
    <w:basedOn w:val="Normal"/>
    <w:next w:val="Normal"/>
    <w:qFormat/>
    <w:pPr>
      <w:keepNext w:val="true"/>
      <w:numPr>
        <w:ilvl w:val="3"/>
        <w:numId w:val="1"/>
      </w:numPr>
      <w:spacing w:before="120" w:after="60"/>
      <w:jc w:val="center"/>
      <w:outlineLvl w:val="3"/>
    </w:pPr>
    <w:rPr>
      <w:rFonts w:ascii="Times New Roman" w:hAnsi="Times New Roman" w:cs="Times New Roman"/>
      <w:b/>
      <w:i/>
      <w:caps/>
      <w:spacing w:val="100"/>
      <w:kern w:val="2"/>
      <w:sz w:val="24"/>
    </w:rPr>
  </w:style>
  <w:style w:type="character" w:styleId="DefaultParagraphFont">
    <w:name w:val="Default Paragraph Font"/>
    <w:qFormat/>
    <w:rPr/>
  </w:style>
  <w:style w:type="character" w:styleId="NagwekZnak">
    <w:name w:val="Nagłówek Znak"/>
    <w:basedOn w:val="DefaultParagraphFont"/>
    <w:qFormat/>
    <w:rPr/>
  </w:style>
  <w:style w:type="character" w:styleId="StopkaZnak">
    <w:name w:val="Stopka Znak"/>
    <w:basedOn w:val="DefaultParagraphFont"/>
    <w:qFormat/>
    <w:rPr/>
  </w:style>
  <w:style w:type="character" w:styleId="Znakinumeracji">
    <w:name w:val="Znaki numeracji"/>
    <w:qFormat/>
    <w:rPr/>
  </w:style>
  <w:style w:type="character" w:styleId="Mocnewyrnione">
    <w:name w:val="Mocne wyróżnione"/>
    <w:qFormat/>
    <w:rPr>
      <w:b/>
      <w:bCs/>
    </w:rPr>
  </w:style>
  <w:style w:type="character" w:styleId="Czeinternetowe">
    <w:name w:val="Łącze internetowe"/>
    <w:rPr>
      <w:color w:val="0000FF"/>
      <w:u w:val="single"/>
    </w:rPr>
  </w:style>
  <w:style w:type="character" w:styleId="WW8Num1z0">
    <w:name w:val="WW8Num1z0"/>
    <w:qFormat/>
    <w:rPr>
      <w:rFonts w:ascii="TimesNewRomanPSMT;Times New Roman" w:hAnsi="TimesNewRomanPSMT;Times New Roman" w:eastAsia="TimesNewRomanPSMT;Times New Roman" w:cs="TimesNewRomanPSMT;Times New Roman"/>
      <w:spacing w:val="3"/>
      <w:sz w:val="20"/>
      <w:szCs w:val="20"/>
      <w:lang w:eastAsia="zxx" w:bidi="ar-SA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odyTextIndent2">
    <w:name w:val="Body Text Indent 2"/>
    <w:basedOn w:val="Normal"/>
    <w:qFormat/>
    <w:pPr>
      <w:spacing w:before="0" w:after="120"/>
      <w:ind w:left="0" w:right="0" w:firstLine="709"/>
      <w:jc w:val="both"/>
    </w:pPr>
    <w:rPr>
      <w:rFonts w:ascii="Times New Roman" w:hAnsi="Times New Roman" w:cs="Times New Roman"/>
      <w:kern w:val="2"/>
      <w:sz w:val="24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Standard">
    <w:name w:val="Standard"/>
    <w:qFormat/>
    <w:pPr>
      <w:widowControl w:val="false"/>
      <w:suppressAutoHyphens w:val="true"/>
      <w:overflowPunct w:val="true"/>
      <w:bidi w:val="0"/>
      <w:spacing w:before="0" w:after="0"/>
      <w:jc w:val="left"/>
      <w:textAlignment w:val="baseline"/>
    </w:pPr>
    <w:rPr>
      <w:rFonts w:ascii="Liberation Serif;Times New Roman" w:hAnsi="Liberation Serif;Times New Roman" w:eastAsia="Arial Unicode MS" w:cs="Mangal"/>
      <w:color w:val="auto"/>
      <w:kern w:val="2"/>
      <w:sz w:val="24"/>
      <w:szCs w:val="24"/>
      <w:lang w:val="pl-PL" w:eastAsia="zh-CN" w:bidi="hi-IN"/>
    </w:rPr>
  </w:style>
  <w:style w:type="paragraph" w:styleId="Tekstpodstawowy21">
    <w:name w:val="Tekst podstawowy 21"/>
    <w:basedOn w:val="Normal"/>
    <w:qFormat/>
    <w:pPr>
      <w:jc w:val="both"/>
    </w:pPr>
    <w:rPr>
      <w:rFonts w:cs="Arial"/>
      <w:sz w:val="20"/>
    </w:rPr>
  </w:style>
  <w:style w:type="paragraph" w:styleId="NormalWeb">
    <w:name w:val="Normal (Web)"/>
    <w:basedOn w:val="Normal"/>
    <w:qFormat/>
    <w:pPr>
      <w:widowControl/>
      <w:suppressAutoHyphens w:val="false"/>
      <w:spacing w:beforeAutospacing="1" w:afterAutospacing="1"/>
    </w:pPr>
    <w:rPr>
      <w:rFonts w:eastAsia="Times New Roman" w:cs="Times New Roman"/>
      <w:kern w:val="0"/>
      <w:lang w:eastAsia="pl-PL" w:bidi="ar-SA"/>
    </w:rPr>
  </w:style>
  <w:style w:type="numbering" w:styleId="WW8Num2">
    <w:name w:val="WW8Num2"/>
    <w:qFormat/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Application>LibreOffice/7.3.2.2$Windows_X86_64 LibreOffice_project/49f2b1bff42cfccbd8f788c8dc32c1c309559be0</Application>
  <AppVersion>15.0000</AppVersion>
  <Pages>2</Pages>
  <Words>254</Words>
  <Characters>1559</Characters>
  <CharactersWithSpaces>1882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2024-07-11T18:06:00Z</dcterms:created>
  <dc:creator>Magnetyczne teksty</dc:creator>
  <dc:description/>
  <dc:language>pl-PL</dc:language>
  <cp:lastModifiedBy/>
  <cp:lastPrinted>2024-07-11T18:24:00Z</cp:lastPrinted>
  <dcterms:modified xsi:type="dcterms:W3CDTF">2026-02-26T15:24:06Z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