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media/image1.jpeg" ContentType="image/jpeg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word/_rels/header3.xml.rels" ContentType="application/vnd.openxmlformats-package.relationships+xml"/>
  <Override PartName="/word/_rels/header2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/>
        <w:spacing w:lineRule="auto" w:line="276" w:before="0" w:after="160"/>
        <w:jc w:val="right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imes New Roman"/>
          <w:kern w:val="2"/>
          <w:lang w:eastAsia="en-US" w:bidi="ar-SA"/>
        </w:rPr>
        <w:t xml:space="preserve">                                                                                           </w:t>
      </w:r>
      <w:r>
        <w:rPr>
          <w:rFonts w:eastAsia="Calibri" w:cs="Times New Roman"/>
          <w:kern w:val="2"/>
          <w:sz w:val="22"/>
          <w:lang w:eastAsia="en-US" w:bidi="ar-SA"/>
        </w:rPr>
        <w:t>Załącznik nr 1</w:t>
      </w:r>
    </w:p>
    <w:p>
      <w:pPr>
        <w:pStyle w:val="Heading1"/>
        <w:numPr>
          <w:ilvl w:val="0"/>
          <w:numId w:val="0"/>
        </w:numPr>
        <w:ind w:hanging="0" w:left="720" w:right="0"/>
        <w:jc w:val="right"/>
        <w:rPr>
          <w:sz w:val="20"/>
        </w:rPr>
      </w:pPr>
      <w:r>
        <w:rPr>
          <w:sz w:val="20"/>
        </w:rPr>
        <w:t xml:space="preserve">do wniosku o dokonanie wpisu do ewidencji </w:t>
      </w:r>
    </w:p>
    <w:p>
      <w:pPr>
        <w:pStyle w:val="Heading1"/>
        <w:numPr>
          <w:ilvl w:val="0"/>
          <w:numId w:val="3"/>
        </w:numPr>
        <w:ind w:hanging="720" w:left="720" w:right="0"/>
        <w:jc w:val="right"/>
        <w:rPr/>
      </w:pPr>
      <w:r>
        <w:rPr>
          <w:sz w:val="20"/>
        </w:rPr>
        <w:t xml:space="preserve"> </w:t>
      </w:r>
      <w:r>
        <w:rPr>
          <w:sz w:val="20"/>
        </w:rPr>
        <w:t>innych obiektów świadczących usługi hotelarskie</w:t>
      </w:r>
    </w:p>
    <w:p>
      <w:pPr>
        <w:pStyle w:val="Normal"/>
        <w:jc w:val="right"/>
        <w:rPr>
          <w:b/>
          <w:i/>
          <w:i/>
          <w:sz w:val="22"/>
        </w:rPr>
      </w:pPr>
      <w:r>
        <w:rPr>
          <w:b/>
          <w:i/>
          <w:sz w:val="22"/>
        </w:rPr>
      </w:r>
    </w:p>
    <w:p>
      <w:pPr>
        <w:pStyle w:val="BodyText"/>
        <w:rPr>
          <w:b/>
          <w:i/>
          <w:i/>
          <w:sz w:val="22"/>
        </w:rPr>
      </w:pPr>
      <w:r>
        <w:rPr>
          <w:b/>
          <w:i/>
          <w:sz w:val="22"/>
        </w:rPr>
      </w:r>
    </w:p>
    <w:p>
      <w:pPr>
        <w:pStyle w:val="BodyText"/>
        <w:rPr>
          <w:b/>
        </w:rPr>
      </w:pPr>
      <w:r>
        <w:rPr>
          <w:b/>
        </w:rPr>
        <w:t>MINIMALNE WYMAGANIA CO DO WYPOSAŻENIA DLA INNYCH OBIEKTÓW,  W KTÓRYCH SĄ ŚWIADCZONE USŁUGI HOTELARSKIE</w:t>
      </w:r>
    </w:p>
    <w:p>
      <w:pPr>
        <w:pStyle w:val="BodyText"/>
        <w:rPr/>
      </w:pPr>
      <w:r>
        <w:rPr/>
        <w:t xml:space="preserve">(zał. nr 7 rozporządzenia Ministra Gospodarki i Pracy z dnia 19 sierpnia 2004 r.                         </w:t>
      </w:r>
      <w:r>
        <w:rPr/>
        <w:t xml:space="preserve">         </w:t>
      </w:r>
      <w:r>
        <w:rPr/>
        <w:t xml:space="preserve"> tj. Dz. U. z 2017 r. poz. 2166)</w:t>
      </w:r>
    </w:p>
    <w:p>
      <w:pPr>
        <w:pStyle w:val="Normal"/>
        <w:rPr>
          <w:sz w:val="24"/>
        </w:rPr>
      </w:pPr>
      <w:r>
        <w:rPr>
          <w:sz w:val="24"/>
        </w:rPr>
      </w:r>
    </w:p>
    <w:tbl>
      <w:tblPr>
        <w:tblW w:w="9179" w:type="dxa"/>
        <w:jc w:val="left"/>
        <w:tblInd w:w="-12" w:type="dxa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495"/>
        <w:gridCol w:w="7512"/>
        <w:gridCol w:w="1172"/>
      </w:tblGrid>
      <w:tr>
        <w:trPr>
          <w:trHeight w:val="157" w:hRule="atLeast"/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b/>
                <w:sz w:val="24"/>
              </w:rPr>
            </w:pPr>
            <w:r>
              <w:rPr>
                <w:b/>
                <w:sz w:val="24"/>
              </w:rPr>
              <w:t>Lp.</w:t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WYMAGANIA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rPr/>
            </w:pPr>
            <w:r>
              <w:rPr>
                <w:b/>
              </w:rPr>
              <w:t>TAK /NIE</w:t>
            </w:r>
            <w:r>
              <w:rPr>
                <w:b/>
                <w:sz w:val="24"/>
                <w:vertAlign w:val="superscript"/>
              </w:rPr>
              <w:t>*</w:t>
            </w:r>
          </w:p>
        </w:tc>
      </w:tr>
      <w:tr>
        <w:trPr>
          <w:trHeight w:val="157" w:hRule="atLeast"/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16"/>
              </w:rPr>
            </w:pPr>
            <w:r>
              <w:rPr>
                <w:sz w:val="16"/>
              </w:rPr>
              <w:t>1</w:t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bCs/>
                <w:sz w:val="16"/>
              </w:rPr>
            </w:pPr>
            <w:r>
              <w:rPr>
                <w:bCs/>
                <w:sz w:val="16"/>
              </w:rPr>
              <w:t>2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jc w:val="center"/>
              <w:rPr>
                <w:sz w:val="16"/>
              </w:rPr>
            </w:pPr>
            <w:r>
              <w:rPr>
                <w:sz w:val="16"/>
              </w:rPr>
              <w:t>3</w:t>
            </w:r>
          </w:p>
        </w:tc>
      </w:tr>
      <w:tr>
        <w:trPr>
          <w:trHeight w:val="157" w:hRule="atLeast"/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sz w:val="16"/>
              </w:rPr>
            </w:pPr>
            <w:r>
              <w:rPr>
                <w:sz w:val="16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b/>
                <w:sz w:val="24"/>
              </w:rPr>
            </w:pPr>
            <w:r>
              <w:rPr>
                <w:b/>
                <w:sz w:val="24"/>
              </w:rPr>
              <w:t>I. Dla wynajmowania miejsc na ustawianie namiotów i przyczep samochodowych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Teren obozowiska wyrównany, suchy, ukształtowany w sposób zapewniający odprowadzenie wód opadowych i uprzątnięty z przedmiotów mogących zagrażać bezpieczeństwu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/>
            </w:pPr>
            <w:r>
              <w:rPr>
                <w:sz w:val="24"/>
              </w:rPr>
              <w:t xml:space="preserve">Punkt poboru wody do picia </w:t>
            </w:r>
            <w:r>
              <w:rPr>
                <w:sz w:val="24"/>
                <w:vertAlign w:val="superscript"/>
              </w:rPr>
              <w:t>1)</w:t>
            </w:r>
            <w:r>
              <w:rPr>
                <w:sz w:val="24"/>
              </w:rPr>
              <w:t xml:space="preserve"> i potrzeb gospodarczych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Miejsce wylewania nieczystości płynnych odpowiednio zabezpieczone i oznakowane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Pojemnik na śmieci i odpady stałe, regularnie opróżniany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Ustęp utrzymywany w czystości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II. Dla wynajmowania miejsc w namiotach, przyczepach mieszkalnych, domkach turystycznych i obiektach prowizorycznych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Stanowiska dla namiotów i przyczep mieszkalnych oraz dojścia do stanowisk utwardzone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sz w:val="24"/>
              </w:rPr>
            </w:pPr>
            <w:r>
              <w:rPr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sz w:val="24"/>
              </w:rPr>
            </w:pPr>
            <w:r>
              <w:rPr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Oświetlenie dojść do stanowisk i obiektów higieniczno-sanitarnych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Półka lub stelaż na  rzeczy osobiste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rPr>
                <w:sz w:val="24"/>
              </w:rPr>
            </w:pPr>
            <w:r>
              <w:rPr>
                <w:sz w:val="24"/>
              </w:rPr>
              <w:t>Oddzielne łóżka polowe dla każdego korzystającego z namiotu, w odległości nie mniejszej niż 30 cm pomiędzy łóżkami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rPr>
                <w:b/>
              </w:rPr>
            </w:pPr>
            <w:r>
              <w:rPr>
                <w:b/>
              </w:rPr>
              <w:t>III. Dla wynajmowania miejsc i świadczenia usług w budynkach stałych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Ogrzewanie – w całym obiekcie w miesiącach X – IV, temperatura minimum 18</w:t>
            </w:r>
            <w:r>
              <w:rPr>
                <w:vertAlign w:val="superscript"/>
              </w:rPr>
              <w:t>0</w:t>
            </w:r>
            <w:r>
              <w:rPr/>
              <w:t xml:space="preserve"> C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 xml:space="preserve">Instalacja sanitarna: zimna woda przez całą dobę i dostęp do ciepłej wody </w:t>
            </w:r>
            <w:r>
              <w:rPr>
                <w:vertAlign w:val="superscript"/>
              </w:rPr>
              <w:t>2)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  <w:vertAlign w:val="superscript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  <w:vertAlign w:val="superscript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Maksymalna liczba osób przypadających na jeden w. h. s. - 15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jc w:val="left"/>
              <w:rPr/>
            </w:pPr>
            <w:r>
              <w:rPr/>
              <w:t>Wyposażenie podstawowe w. h. s. :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natrysk lub wanna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umywalka z blatem lub półką i wieszakiem na ręcznik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WC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lustro z górnym lub bocznym oświetleniem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uniwersalne gniazdko elektryczne z osłoną</w:t>
            </w:r>
          </w:p>
          <w:p>
            <w:pPr>
              <w:pStyle w:val="BodyText"/>
              <w:numPr>
                <w:ilvl w:val="0"/>
                <w:numId w:val="5"/>
              </w:numPr>
              <w:ind w:hanging="360" w:left="360" w:right="0"/>
              <w:jc w:val="left"/>
              <w:rPr/>
            </w:pPr>
            <w:r>
              <w:rPr/>
              <w:t>pojemnik na śmieci (niepalny lub trudno zapalny)</w:t>
            </w:r>
          </w:p>
          <w:p>
            <w:pPr>
              <w:pStyle w:val="BodyText"/>
              <w:numPr>
                <w:ilvl w:val="0"/>
                <w:numId w:val="5"/>
              </w:numPr>
              <w:spacing w:before="0" w:after="140"/>
              <w:ind w:hanging="360" w:left="360" w:right="0"/>
              <w:jc w:val="left"/>
              <w:rPr/>
            </w:pPr>
            <w:r>
              <w:rPr/>
              <w:t>dozownik do płynnego mydła i ręczniki papierowe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4" w:space="0" w:color="000000"/>
            </w:tcBorders>
          </w:tcPr>
          <w:p>
            <w:pPr>
              <w:pStyle w:val="BodyText"/>
              <w:spacing w:before="0" w:after="140"/>
              <w:jc w:val="left"/>
              <w:rPr>
                <w:b/>
              </w:rPr>
            </w:pPr>
            <w:r>
              <w:rPr>
                <w:b/>
              </w:rPr>
              <w:t>IV. Dla wynajmowania miejsc noclegowych w pomieszczeniach wspólnych (salach)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4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Powierzchnia sal nie mniejsza niż 2,5 m</w:t>
            </w:r>
            <w:r>
              <w:rPr>
                <w:vertAlign w:val="superscript"/>
              </w:rPr>
              <w:t xml:space="preserve">2 </w:t>
            </w:r>
            <w:r>
              <w:rPr/>
              <w:t>– na jedną osobę (przy łóżkach piętrowych 1,5m</w:t>
            </w:r>
            <w:r>
              <w:rPr>
                <w:vertAlign w:val="superscript"/>
              </w:rPr>
              <w:t>2</w:t>
            </w:r>
            <w:r>
              <w:rPr/>
              <w:t>)</w:t>
            </w:r>
          </w:p>
        </w:tc>
        <w:tc>
          <w:tcPr>
            <w:tcW w:w="1172" w:type="dxa"/>
            <w:tcBorders>
              <w:top w:val="single" w:sz="4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jc w:val="left"/>
              <w:rPr/>
            </w:pPr>
            <w:r>
              <w:rPr/>
              <w:t>Wyposażenie sal sypialnych: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łóżka jednoosobowe w wymiarach minimum 80 x 190 cm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oddzielne zamykane szafki dla każdej osoby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stół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krzesła lub taborety (1 na osobę) lub ławy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wieszaki na odzież wierzchnią</w:t>
            </w:r>
          </w:p>
          <w:p>
            <w:pPr>
              <w:pStyle w:val="BodyText"/>
              <w:numPr>
                <w:ilvl w:val="0"/>
                <w:numId w:val="2"/>
              </w:numPr>
              <w:ind w:hanging="360" w:left="360" w:right="0"/>
              <w:jc w:val="left"/>
              <w:rPr/>
            </w:pPr>
            <w:r>
              <w:rPr/>
              <w:t>lustro</w:t>
            </w:r>
          </w:p>
          <w:p>
            <w:pPr>
              <w:pStyle w:val="BodyText"/>
              <w:numPr>
                <w:ilvl w:val="0"/>
                <w:numId w:val="2"/>
              </w:numPr>
              <w:spacing w:before="0" w:after="140"/>
              <w:ind w:hanging="360" w:left="360" w:right="0"/>
              <w:jc w:val="left"/>
              <w:rPr/>
            </w:pPr>
            <w:r>
              <w:rPr/>
              <w:t>oświetlenie ogólne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Dostęp do w.h.s. jak w lp. 12 i 13</w:t>
            </w:r>
          </w:p>
        </w:tc>
        <w:tc>
          <w:tcPr>
            <w:tcW w:w="117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snapToGrid w:val="false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/>
            </w:pPr>
            <w:r>
              <w:rPr/>
              <w:t>V. Dla wynajmowania samodzielnych pokoi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>
                <w:sz w:val="24"/>
              </w:rPr>
            </w:pPr>
            <w:r>
              <w:rPr>
                <w:b w:val="false"/>
              </w:rPr>
              <w:t>Powierzchnia mieszkalna w m</w:t>
            </w:r>
            <w:r>
              <w:rPr>
                <w:b w:val="false"/>
                <w:vertAlign w:val="superscript"/>
              </w:rPr>
              <w:t>2</w:t>
            </w:r>
            <w:r>
              <w:rPr>
                <w:b w:val="false"/>
              </w:rPr>
              <w:t>:</w:t>
            </w:r>
          </w:p>
          <w:p>
            <w:pPr>
              <w:pStyle w:val="Normal"/>
              <w:numPr>
                <w:ilvl w:val="0"/>
                <w:numId w:val="6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pokój 1- i 2-osobowy – 6 m</w:t>
            </w:r>
            <w:r>
              <w:rPr>
                <w:sz w:val="24"/>
                <w:vertAlign w:val="superscript"/>
              </w:rPr>
              <w:t>2</w:t>
            </w:r>
          </w:p>
          <w:p>
            <w:pPr>
              <w:pStyle w:val="Normal"/>
              <w:numPr>
                <w:ilvl w:val="0"/>
                <w:numId w:val="6"/>
              </w:numPr>
              <w:ind w:hanging="360" w:left="360" w:right="0"/>
              <w:rPr/>
            </w:pPr>
            <w:r>
              <w:rPr>
                <w:sz w:val="24"/>
              </w:rPr>
              <w:t>pokój większy niż 2 – osobowy – dodatkowo 2 m</w:t>
            </w:r>
            <w:r>
              <w:rPr>
                <w:sz w:val="24"/>
                <w:vertAlign w:val="superscript"/>
              </w:rPr>
              <w:t>2</w:t>
            </w:r>
            <w:r>
              <w:rPr>
                <w:sz w:val="24"/>
              </w:rPr>
              <w:t xml:space="preserve"> na każdą następną osobę </w:t>
            </w:r>
            <w:r>
              <w:rPr>
                <w:sz w:val="24"/>
                <w:vertAlign w:val="superscript"/>
              </w:rPr>
              <w:t>3)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  <w:vertAlign w:val="superscript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  <w:vertAlign w:val="superscript"/>
              </w:rPr>
            </w:pPr>
            <w:r>
              <w:rPr>
                <w:b/>
                <w:sz w:val="24"/>
                <w:vertAlign w:val="superscript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>
                <w:sz w:val="24"/>
              </w:rPr>
            </w:pPr>
            <w:r>
              <w:rPr>
                <w:b w:val="false"/>
              </w:rPr>
              <w:t>Zestaw wyposażenia meblowego:</w:t>
            </w:r>
          </w:p>
          <w:p>
            <w:pPr>
              <w:pStyle w:val="Normal"/>
              <w:numPr>
                <w:ilvl w:val="0"/>
                <w:numId w:val="7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łóżka jednoosobowe w wymiarach minimum 80 x 190 cm lub łóżka dwuosobowe o wymiarach minimum 120 x 190 cm</w:t>
            </w:r>
          </w:p>
          <w:p>
            <w:pPr>
              <w:pStyle w:val="Normal"/>
              <w:numPr>
                <w:ilvl w:val="0"/>
                <w:numId w:val="7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nocny stolik lub półka przy każdym łóżku</w:t>
            </w:r>
          </w:p>
          <w:p>
            <w:pPr>
              <w:pStyle w:val="Normal"/>
              <w:numPr>
                <w:ilvl w:val="0"/>
                <w:numId w:val="7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stół lub stolik</w:t>
            </w:r>
          </w:p>
          <w:p>
            <w:pPr>
              <w:pStyle w:val="Normal"/>
              <w:numPr>
                <w:ilvl w:val="0"/>
                <w:numId w:val="7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krzesło lub taboret (1 na osobę, lecz nie mniej niż 2 na pokój), lub ława</w:t>
            </w:r>
          </w:p>
          <w:p>
            <w:pPr>
              <w:pStyle w:val="Normal"/>
              <w:numPr>
                <w:ilvl w:val="0"/>
                <w:numId w:val="7"/>
              </w:numPr>
              <w:ind w:hanging="360" w:left="360" w:right="0"/>
              <w:rPr/>
            </w:pPr>
            <w:r>
              <w:rPr>
                <w:sz w:val="24"/>
              </w:rPr>
              <w:t>wieszak na odzież oraz półka lub stelaż na rzeczy osobiste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>
                <w:sz w:val="24"/>
              </w:rPr>
            </w:pPr>
            <w:r>
              <w:rPr>
                <w:b w:val="false"/>
              </w:rPr>
              <w:t>Pościel dla jednej osoby:</w:t>
            </w:r>
          </w:p>
          <w:p>
            <w:pPr>
              <w:pStyle w:val="Normal"/>
              <w:numPr>
                <w:ilvl w:val="0"/>
                <w:numId w:val="8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kołdra lub dwa koce</w:t>
            </w:r>
          </w:p>
          <w:p>
            <w:pPr>
              <w:pStyle w:val="Normal"/>
              <w:numPr>
                <w:ilvl w:val="0"/>
                <w:numId w:val="8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poduszka</w:t>
            </w:r>
          </w:p>
          <w:p>
            <w:pPr>
              <w:pStyle w:val="Normal"/>
              <w:numPr>
                <w:ilvl w:val="0"/>
                <w:numId w:val="8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poszwa</w:t>
            </w:r>
          </w:p>
          <w:p>
            <w:pPr>
              <w:pStyle w:val="Normal"/>
              <w:numPr>
                <w:ilvl w:val="0"/>
                <w:numId w:val="8"/>
              </w:numPr>
              <w:ind w:hanging="360" w:left="360" w:right="0"/>
              <w:rPr>
                <w:sz w:val="24"/>
              </w:rPr>
            </w:pPr>
            <w:r>
              <w:rPr>
                <w:sz w:val="24"/>
              </w:rPr>
              <w:t>poszewka na poduszkę</w:t>
            </w:r>
          </w:p>
          <w:p>
            <w:pPr>
              <w:pStyle w:val="Normal"/>
              <w:numPr>
                <w:ilvl w:val="0"/>
                <w:numId w:val="8"/>
              </w:numPr>
              <w:ind w:hanging="360" w:left="360" w:right="0"/>
              <w:rPr/>
            </w:pPr>
            <w:r>
              <w:rPr>
                <w:sz w:val="24"/>
              </w:rPr>
              <w:t>prześcieradło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/>
            </w:pPr>
            <w:r>
              <w:rPr>
                <w:b w:val="false"/>
              </w:rPr>
              <w:t>Oświetlenie – minimum jeden punkt świetlny o mocy 60 W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Heading3"/>
              <w:numPr>
                <w:ilvl w:val="2"/>
                <w:numId w:val="1"/>
              </w:numPr>
              <w:ind w:hanging="0" w:left="0" w:right="0"/>
              <w:jc w:val="left"/>
              <w:rPr/>
            </w:pPr>
            <w:r>
              <w:rPr>
                <w:b w:val="false"/>
              </w:rPr>
              <w:t>Zasłony okienne zaciemniające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Dostęp do w.h.s. jak w lp. 12 i 13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  <w:tr>
        <w:trPr>
          <w:cantSplit w:val="true"/>
        </w:trPr>
        <w:tc>
          <w:tcPr>
            <w:tcW w:w="4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numPr>
                <w:ilvl w:val="0"/>
                <w:numId w:val="4"/>
              </w:numPr>
              <w:snapToGrid w:val="false"/>
              <w:ind w:hanging="360" w:left="360" w:right="0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  <w:tc>
          <w:tcPr>
            <w:tcW w:w="751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BodyText"/>
              <w:spacing w:before="0" w:after="140"/>
              <w:jc w:val="left"/>
              <w:rPr/>
            </w:pPr>
            <w:r>
              <w:rPr/>
              <w:t>Kosz na śmieci niepalny lub trudno zapalny</w:t>
            </w:r>
          </w:p>
        </w:tc>
        <w:tc>
          <w:tcPr>
            <w:tcW w:w="117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snapToGrid w:val="false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>
          <w:sz w:val="24"/>
        </w:rPr>
      </w:pPr>
      <w:r>
        <w:rPr>
          <w:sz w:val="24"/>
        </w:rPr>
      </w:r>
    </w:p>
    <w:p>
      <w:pPr>
        <w:pStyle w:val="Normal"/>
        <w:rPr>
          <w:sz w:val="24"/>
          <w:u w:val="single"/>
        </w:rPr>
      </w:pPr>
      <w:r>
        <w:rPr>
          <w:sz w:val="24"/>
          <w:u w:val="single"/>
        </w:rPr>
      </w:r>
    </w:p>
    <w:p>
      <w:pPr>
        <w:pStyle w:val="Normal"/>
        <w:rPr>
          <w:sz w:val="24"/>
          <w:u w:val="single"/>
        </w:rPr>
      </w:pPr>
      <w:r>
        <w:rPr>
          <w:sz w:val="24"/>
          <w:u w:val="single"/>
        </w:rPr>
      </w:r>
    </w:p>
    <w:p>
      <w:pPr>
        <w:pStyle w:val="Normal"/>
        <w:rPr>
          <w:sz w:val="24"/>
          <w:u w:val="single"/>
        </w:rPr>
      </w:pPr>
      <w:r>
        <w:rPr>
          <w:sz w:val="24"/>
          <w:u w:val="single"/>
        </w:rPr>
      </w:r>
    </w:p>
    <w:p>
      <w:pPr>
        <w:pStyle w:val="Normal"/>
        <w:rPr>
          <w:b/>
          <w:u w:val="single"/>
        </w:rPr>
      </w:pPr>
      <w:r>
        <w:rPr>
          <w:b/>
          <w:u w:val="single"/>
        </w:rPr>
        <w:t>Objaśnienia odnośników i skrótów:</w:t>
      </w:r>
    </w:p>
    <w:p>
      <w:pPr>
        <w:pStyle w:val="Normal"/>
        <w:numPr>
          <w:ilvl w:val="0"/>
          <w:numId w:val="9"/>
        </w:numPr>
        <w:ind w:hanging="360" w:left="360" w:right="0"/>
        <w:jc w:val="both"/>
        <w:rPr/>
      </w:pPr>
      <w:r>
        <w:rPr/>
        <w:t xml:space="preserve">Dopuszcza się miejsca biwakowania przy szlakach wodnych bez punktu poboru wody    </w:t>
      </w:r>
      <w:r>
        <w:rPr/>
        <w:t xml:space="preserve">            </w:t>
      </w:r>
      <w:r>
        <w:rPr/>
        <w:t>do picia.</w:t>
      </w:r>
    </w:p>
    <w:p>
      <w:pPr>
        <w:pStyle w:val="Normal"/>
        <w:numPr>
          <w:ilvl w:val="0"/>
          <w:numId w:val="9"/>
        </w:numPr>
        <w:ind w:hanging="360" w:left="360" w:right="0"/>
        <w:jc w:val="both"/>
        <w:rPr/>
      </w:pPr>
      <w:r>
        <w:rPr/>
        <w:t>Minimum dwie godziny rano i dwie godziny wieczorem o ustalonych porach.</w:t>
      </w:r>
    </w:p>
    <w:p>
      <w:pPr>
        <w:pStyle w:val="Normal"/>
        <w:numPr>
          <w:ilvl w:val="0"/>
          <w:numId w:val="9"/>
        </w:numPr>
        <w:ind w:hanging="360" w:left="360" w:right="0"/>
        <w:jc w:val="both"/>
        <w:rPr/>
      </w:pPr>
      <w:r>
        <w:rPr/>
        <w:t>W pomieszczeniach o wysokości co najmniej 2,5 m dopuszcza się łóżka piętrowe – powierzchnia pokoju może zostać zmniejszona o 20%, w. h. s. –  węzeł higieniczno-sanitarny,</w:t>
      </w:r>
    </w:p>
    <w:p>
      <w:pPr>
        <w:pStyle w:val="Normal"/>
        <w:ind w:firstLine="360" w:right="0"/>
        <w:rPr/>
      </w:pPr>
      <w:r>
        <w:rPr/>
      </w:r>
    </w:p>
    <w:p>
      <w:pPr>
        <w:pStyle w:val="Normal"/>
        <w:ind w:firstLine="360" w:right="0"/>
        <w:rPr>
          <w:u w:val="single"/>
        </w:rPr>
      </w:pPr>
      <w:r>
        <w:rPr>
          <w:u w:val="single"/>
        </w:rPr>
        <w:t>* Wnioskodawca  określa wyposażenie zgłaszanego obiektu poprzez wpisanie   TAK lub NIE</w:t>
      </w:r>
    </w:p>
    <w:p>
      <w:pPr>
        <w:pStyle w:val="Normal"/>
        <w:widowControl/>
        <w:spacing w:lineRule="auto" w:line="276" w:before="0" w:after="160"/>
        <w:textAlignment w:val="baseline"/>
        <w:rPr>
          <w:rFonts w:eastAsia="Calibri" w:cs="Tahoma"/>
          <w:kern w:val="2"/>
          <w:lang w:eastAsia="en-US" w:bidi="ar-SA"/>
        </w:rPr>
      </w:pPr>
      <w:r>
        <w:rPr>
          <w:rFonts w:eastAsia="Calibri" w:cs="Tahoma"/>
          <w:kern w:val="2"/>
          <w:lang w:eastAsia="en-US" w:bidi="ar-SA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274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Bottom of Page)"/>
        <w:docPartUnique w:val="true"/>
        <w:docPartGallery w:val="Page Numbers (Top of Page)"/>
        <w:docPartUnique w:val="true"/>
      </w:docPartObj>
      <w:id w:val="-1769616900"/>
    </w:sdtPr>
    <w:sdtContent>
      <w:p>
        <w:pPr>
          <w:pStyle w:val="Footer"/>
          <w:jc w:val="right"/>
          <w:rPr>
            <w:b/>
            <w:bCs/>
            <w:color w:val="008000"/>
          </w:rPr>
        </w:pPr>
        <w:r>
          <w:rPr>
            <w:b/>
            <w:bCs/>
            <w:color w:val="008000"/>
          </w:rPr>
        </w:r>
      </w:p>
    </w:sdtContent>
  </w:sdt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1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center"/>
      <w:rPr/>
    </w:pPr>
    <w:r>
      <w:rPr/>
      <w:drawing>
        <wp:inline distT="0" distB="0" distL="0" distR="0">
          <wp:extent cx="5441315" cy="754380"/>
          <wp:effectExtent l="0" t="0" r="0" b="0"/>
          <wp:docPr id="2" name="Obraz 1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441315" cy="75438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1"/>
      <w:numFmt w:val="none"/>
      <w:suff w:val="nothing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none"/>
      <w:suff w:val="nothing"/>
      <w:lvlText w:val="%2."/>
      <w:lvlJc w:val="left"/>
      <w:pPr>
        <w:tabs>
          <w:tab w:val="num" w:pos="0"/>
        </w:tabs>
        <w:ind w:left="1080" w:hanging="360"/>
      </w:pPr>
      <w:rPr/>
    </w:lvl>
    <w:lvl w:ilvl="2">
      <w:start w:val="1"/>
      <w:numFmt w:val="none"/>
      <w:suff w:val="nothing"/>
      <w:lvlText w:val="%3."/>
      <w:lvlJc w:val="left"/>
      <w:pPr>
        <w:tabs>
          <w:tab w:val="num" w:pos="0"/>
        </w:tabs>
        <w:ind w:left="1440" w:hanging="360"/>
      </w:pPr>
      <w:rPr/>
    </w:lvl>
    <w:lvl w:ilvl="3">
      <w:start w:val="1"/>
      <w:numFmt w:val="none"/>
      <w:suff w:val="nothing"/>
      <w:lvlText w:val="%4."/>
      <w:lvlJc w:val="left"/>
      <w:pPr>
        <w:tabs>
          <w:tab w:val="num" w:pos="0"/>
        </w:tabs>
        <w:ind w:left="1800" w:hanging="360"/>
      </w:pPr>
      <w:rPr/>
    </w:lvl>
    <w:lvl w:ilvl="4">
      <w:start w:val="1"/>
      <w:numFmt w:val="none"/>
      <w:suff w:val="nothing"/>
      <w:lvlText w:val="%5."/>
      <w:lvlJc w:val="left"/>
      <w:pPr>
        <w:tabs>
          <w:tab w:val="num" w:pos="0"/>
        </w:tabs>
        <w:ind w:left="2160" w:hanging="360"/>
      </w:pPr>
      <w:rPr/>
    </w:lvl>
    <w:lvl w:ilvl="5">
      <w:start w:val="1"/>
      <w:numFmt w:val="none"/>
      <w:suff w:val="nothing"/>
      <w:lvlText w:val="%6."/>
      <w:lvlJc w:val="left"/>
      <w:pPr>
        <w:tabs>
          <w:tab w:val="num" w:pos="0"/>
        </w:tabs>
        <w:ind w:left="2520" w:hanging="360"/>
      </w:pPr>
      <w:rPr/>
    </w:lvl>
    <w:lvl w:ilvl="6">
      <w:start w:val="1"/>
      <w:numFmt w:val="none"/>
      <w:suff w:val="nothing"/>
      <w:lvlText w:val="%7."/>
      <w:lvlJc w:val="left"/>
      <w:pPr>
        <w:tabs>
          <w:tab w:val="num" w:pos="0"/>
        </w:tabs>
        <w:ind w:left="2880" w:hanging="360"/>
      </w:pPr>
      <w:rPr/>
    </w:lvl>
    <w:lvl w:ilvl="7">
      <w:start w:val="1"/>
      <w:numFmt w:val="none"/>
      <w:suff w:val="nothing"/>
      <w:lvlText w:val="%8."/>
      <w:lvlJc w:val="left"/>
      <w:pPr>
        <w:tabs>
          <w:tab w:val="num" w:pos="0"/>
        </w:tabs>
        <w:ind w:left="3240" w:hanging="360"/>
      </w:pPr>
      <w:rPr/>
    </w:lvl>
    <w:lvl w:ilvl="8">
      <w:start w:val="1"/>
      <w:numFmt w:val="none"/>
      <w:suff w:val="nothing"/>
      <w:lvlText w:val="%9."/>
      <w:lvlJc w:val="left"/>
      <w:pPr>
        <w:tabs>
          <w:tab w:val="num" w:pos="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>
    <w:lvl w:ilvl="0">
      <w:start w:val="1"/>
      <w:numFmt w:val="decimal"/>
      <w:lvlText w:val="%1)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>
    <w:lvl w:ilvl="0">
      <w:start w:val="1"/>
      <w:numFmt w:val="decimal"/>
      <w:lvlText w:val="%1)"/>
      <w:lvlJc w:val="left"/>
      <w:pPr>
        <w:tabs>
          <w:tab w:val="num" w:pos="360"/>
        </w:tabs>
        <w:ind w:left="0" w:hanging="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>
    <w:lvl w:ilvl="0">
      <w:start w:val="1"/>
      <w:numFmt w:val="decimal"/>
      <w:lvlText w:val="%1)"/>
      <w:lvlJc w:val="left"/>
      <w:pPr>
        <w:tabs>
          <w:tab w:val="num" w:pos="360"/>
        </w:tabs>
        <w:ind w:left="0" w:hanging="0"/>
      </w:pPr>
      <w:rPr>
        <w:sz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8">
    <w:lvl w:ilvl="0">
      <w:start w:val="1"/>
      <w:numFmt w:val="decimal"/>
      <w:lvlText w:val="%1)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9">
    <w:lvl w:ilvl="0">
      <w:start w:val="1"/>
      <w:numFmt w:val="decimal"/>
      <w:lvlText w:val="%1)"/>
      <w:lvlJc w:val="left"/>
      <w:pPr>
        <w:tabs>
          <w:tab w:val="num" w:pos="360"/>
        </w:tabs>
        <w:ind w:left="0" w:hanging="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0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36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10355"/>
    <w:pPr>
      <w:widowControl w:val="false"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Lucida Sans Unicode" w:cs="Mang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Heading1">
    <w:name w:val="heading 1"/>
    <w:basedOn w:val="Normal"/>
    <w:next w:val="Normal"/>
    <w:qFormat/>
    <w:pPr>
      <w:keepNext w:val="true"/>
      <w:numPr>
        <w:ilvl w:val="0"/>
        <w:numId w:val="3"/>
      </w:numPr>
      <w:ind w:hanging="0" w:left="0" w:right="0"/>
      <w:outlineLvl w:val="0"/>
    </w:pPr>
    <w:rPr>
      <w:sz w:val="24"/>
    </w:rPr>
  </w:style>
  <w:style w:type="paragraph" w:styleId="Heading3">
    <w:name w:val="heading 3"/>
    <w:basedOn w:val="Normal"/>
    <w:next w:val="Normal"/>
    <w:qFormat/>
    <w:pPr>
      <w:keepNext w:val="true"/>
      <w:numPr>
        <w:ilvl w:val="2"/>
        <w:numId w:val="1"/>
      </w:numPr>
      <w:ind w:hanging="0" w:left="0" w:right="0"/>
      <w:jc w:val="center"/>
      <w:outlineLvl w:val="2"/>
    </w:pPr>
    <w:rPr>
      <w:b/>
      <w:sz w:val="24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Znak" w:customStyle="1">
    <w:name w:val="Nagłówek Znak"/>
    <w:basedOn w:val="DefaultParagraphFont"/>
    <w:uiPriority w:val="99"/>
    <w:qFormat/>
    <w:rsid w:val="00583a01"/>
    <w:rPr/>
  </w:style>
  <w:style w:type="character" w:styleId="StopkaZnak" w:customStyle="1">
    <w:name w:val="Stopka Znak"/>
    <w:basedOn w:val="DefaultParagraphFont"/>
    <w:uiPriority w:val="99"/>
    <w:qFormat/>
    <w:rsid w:val="00583a01"/>
    <w:rPr/>
  </w:style>
  <w:style w:type="character" w:styleId="ceidg-gov-title" w:customStyle="1">
    <w:name w:val="ceidg-gov-title"/>
    <w:basedOn w:val="DefaultParagraphFont"/>
    <w:qFormat/>
    <w:rsid w:val="00fc714c"/>
    <w:rPr/>
  </w:style>
  <w:style w:type="character" w:styleId="InternetLink">
    <w:name w:val="Internet Link"/>
    <w:qFormat/>
    <w:rPr>
      <w:color w:val="000080"/>
      <w:u w:val="single"/>
    </w:rPr>
  </w:style>
  <w:style w:type="character" w:styleId="InternetLink1">
    <w:name w:val="Internet Link1"/>
    <w:qFormat/>
    <w:rPr>
      <w:color w:val="000080"/>
      <w:u w:val="single"/>
    </w:rPr>
  </w:style>
  <w:style w:type="character" w:styleId="InternetLink2">
    <w:name w:val="Internet Link2"/>
    <w:qFormat/>
    <w:rPr>
      <w:color w:val="000080"/>
      <w:u w:val="single"/>
    </w:rPr>
  </w:style>
  <w:style w:type="character" w:styleId="Strong">
    <w:name w:val="Strong"/>
    <w:qFormat/>
    <w:rPr>
      <w:b/>
      <w:bCs/>
    </w:rPr>
  </w:style>
  <w:style w:type="character" w:styleId="WW8Num7z0">
    <w:name w:val="WW8Num7z0"/>
    <w:qFormat/>
    <w:rPr>
      <w:sz w:val="24"/>
    </w:rPr>
  </w:style>
  <w:style w:type="character" w:styleId="WW8Num4z0">
    <w:name w:val="WW8Num4z0"/>
    <w:qFormat/>
    <w:rPr>
      <w:sz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Footer">
    <w:name w:val="footer"/>
    <w:basedOn w:val="Normal"/>
    <w:link w:val="StopkaZnak"/>
    <w:uiPriority w:val="99"/>
    <w:unhideWhenUsed/>
    <w:rsid w:val="00583a01"/>
    <w:pPr>
      <w:tabs>
        <w:tab w:val="clear" w:pos="708"/>
        <w:tab w:val="center" w:pos="4536" w:leader="none"/>
        <w:tab w:val="right" w:pos="9072" w:leader="none"/>
      </w:tabs>
    </w:pPr>
    <w:rPr/>
  </w:style>
  <w:style w:type="paragraph" w:styleId="ListParagraph">
    <w:name w:val="List Paragraph"/>
    <w:basedOn w:val="Normal"/>
    <w:uiPriority w:val="34"/>
    <w:qFormat/>
    <w:rsid w:val="00a4468e"/>
    <w:pPr>
      <w:spacing w:before="0" w:after="0"/>
      <w:ind w:left="720"/>
      <w:contextualSpacing/>
    </w:pPr>
    <w:rPr/>
  </w:style>
  <w:style w:type="paragraph" w:styleId="Standard" w:customStyle="1">
    <w:name w:val="Standard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Arial"/>
      <w:color w:val="auto"/>
      <w:kern w:val="2"/>
      <w:sz w:val="24"/>
      <w:szCs w:val="24"/>
      <w:lang w:val="pl-PL" w:eastAsia="zh-CN" w:bidi="hi-IN"/>
      <w14:ligatures w14:val="none"/>
    </w:rPr>
  </w:style>
  <w:style w:type="paragraph" w:styleId="Domylnie" w:customStyle="1">
    <w:name w:val="Domyślnie"/>
    <w:qFormat/>
    <w:rsid w:val="00310355"/>
    <w:pPr>
      <w:widowControl w:val="false"/>
      <w:tabs>
        <w:tab w:val="left" w:pos="708" w:leader="none"/>
      </w:tabs>
      <w:suppressAutoHyphens w:val="true"/>
      <w:overflowPunct w:val="true"/>
      <w:bidi w:val="0"/>
      <w:spacing w:lineRule="atLeast" w:line="100" w:before="0" w:after="0"/>
      <w:jc w:val="left"/>
      <w:textAlignment w:val="baseline"/>
    </w:pPr>
    <w:rPr>
      <w:rFonts w:ascii="Times New Roman" w:hAnsi="Times New Roman" w:eastAsia="Lucida Sans Unicode" w:cs="Mangal"/>
      <w:color w:val="00000A"/>
      <w:kern w:val="2"/>
      <w:sz w:val="24"/>
      <w:szCs w:val="24"/>
      <w:lang w:val="pl-PL" w:eastAsia="zh-CN" w:bidi="hi-IN"/>
      <w14:ligatures w14:val="none"/>
    </w:rPr>
  </w:style>
  <w:style w:type="paragraph" w:styleId="NoSpacing">
    <w:name w:val="No Spacing"/>
    <w:qFormat/>
    <w:rsid w:val="00310355"/>
    <w:pPr>
      <w:widowControl/>
      <w:suppressAutoHyphens w:val="true"/>
      <w:bidi w:val="0"/>
      <w:spacing w:lineRule="auto" w:line="240" w:before="0" w:after="0"/>
      <w:jc w:val="left"/>
      <w:textAlignment w:val="baseline"/>
    </w:pPr>
    <w:rPr>
      <w:rFonts w:ascii="Liberation Serif" w:hAnsi="Liberation Serif" w:eastAsia="SimSun" w:cs="Mangal"/>
      <w:color w:val="auto"/>
      <w:kern w:val="2"/>
      <w:sz w:val="24"/>
      <w:szCs w:val="21"/>
      <w:lang w:val="pl-PL" w:eastAsia="zh-CN" w:bidi="hi-IN"/>
      <w14:ligatures w14:val="none"/>
    </w:rPr>
  </w:style>
  <w:style w:type="paragraph" w:styleId="WW-Tekstpodstawowywcity2">
    <w:name w:val="WW-Tekst podstawowy wcięty 2"/>
    <w:basedOn w:val="Normal"/>
    <w:qFormat/>
    <w:pPr>
      <w:ind w:firstLine="6095" w:left="426" w:right="0"/>
    </w:pPr>
    <w:rPr>
      <w:i/>
    </w:rPr>
  </w:style>
  <w:style w:type="numbering" w:styleId="Bezlisty" w:default="1">
    <w:name w:val="Bez listy"/>
    <w:uiPriority w:val="99"/>
    <w:semiHidden/>
    <w:unhideWhenUsed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5">
    <w:name w:val="WW8Num5"/>
    <w:qFormat/>
  </w:style>
  <w:style w:type="numbering" w:styleId="WW8Num7">
    <w:name w:val="WW8Num7"/>
    <w:qFormat/>
  </w:style>
  <w:style w:type="numbering" w:styleId="WW8Num4">
    <w:name w:val="WW8Num4"/>
    <w:qFormat/>
  </w:style>
  <w:style w:type="numbering" w:styleId="WW8Num8">
    <w:name w:val="WW8Num8"/>
    <w:qFormat/>
  </w:style>
  <w:style w:type="numbering" w:styleId="WW8Num6">
    <w:name w:val="WW8Num6"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numbering" Target="numbering.xml"/><Relationship Id="rId9" Type="http://schemas.openxmlformats.org/officeDocument/2006/relationships/fontTable" Target="fontTable.xml"/><Relationship Id="rId10" Type="http://schemas.openxmlformats.org/officeDocument/2006/relationships/settings" Target="settings.xml"/><Relationship Id="rId11" Type="http://schemas.openxmlformats.org/officeDocument/2006/relationships/theme" Target="theme/theme1.xml"/><Relationship Id="rId12" Type="http://schemas.openxmlformats.org/officeDocument/2006/relationships/customXml" Target="../customXml/item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52D714-9192-4608-8B75-D34A6ED7B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564</TotalTime>
  <Application>LibreOffice/24.8.0.3$Windows_X86_64 LibreOffice_project/0bdf1299c94fe897b119f97f3c613e9dca6be583</Application>
  <AppVersion>15.0000</AppVersion>
  <Pages>3</Pages>
  <Words>567</Words>
  <Characters>3016</Characters>
  <CharactersWithSpaces>3618</CharactersWithSpaces>
  <Paragraphs>95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2024-08-23T12:06:00Z</dcterms:created>
  <dc:creator>Magnetyczne teksty</dc:creator>
  <dc:description/>
  <dc:language>pl-PL</dc:language>
  <cp:lastModifiedBy/>
  <cp:lastPrinted>2025-07-23T08:44:02Z</cp:lastPrinted>
  <dcterms:modified xsi:type="dcterms:W3CDTF">2025-10-09T08:23:56Z</dcterms:modified>
  <cp:revision>88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