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40440" w14:textId="240819C2" w:rsidR="00611880" w:rsidRPr="00611880" w:rsidRDefault="00611880" w:rsidP="002C45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11880">
        <w:rPr>
          <w:rFonts w:ascii="Times New Roman" w:hAnsi="Times New Roman" w:cs="Times New Roman"/>
          <w:b/>
          <w:sz w:val="24"/>
          <w:szCs w:val="24"/>
        </w:rPr>
        <w:t>OGŁOSZENIE O PRZETARGU</w:t>
      </w:r>
    </w:p>
    <w:p w14:paraId="35851E6B" w14:textId="1F22565A" w:rsidR="00611880" w:rsidRPr="002C45D1" w:rsidRDefault="00611880" w:rsidP="00611880">
      <w:pPr>
        <w:pStyle w:val="Standard"/>
        <w:jc w:val="both"/>
        <w:rPr>
          <w:b/>
          <w:bCs/>
          <w:sz w:val="22"/>
          <w:szCs w:val="22"/>
          <w:u w:val="single"/>
        </w:rPr>
      </w:pPr>
      <w:r w:rsidRPr="002C45D1">
        <w:rPr>
          <w:b/>
          <w:bCs/>
          <w:sz w:val="22"/>
          <w:szCs w:val="22"/>
          <w:u w:val="single"/>
        </w:rPr>
        <w:t>Burmistrz Miasta Pionki ogłasza I ustny przetarg nieograniczony na najem na okres 3 lat lokalu użytkowego znajdującego się  w budynku w Pionkach przy ul. Polnej 81</w:t>
      </w:r>
      <w:r w:rsidR="002C45D1" w:rsidRPr="002C45D1">
        <w:rPr>
          <w:b/>
          <w:bCs/>
          <w:sz w:val="22"/>
          <w:szCs w:val="22"/>
          <w:u w:val="single"/>
        </w:rPr>
        <w:t xml:space="preserve"> z datą obowiązywania od 1 października 2025 roku.</w:t>
      </w:r>
    </w:p>
    <w:p w14:paraId="4E9A2398" w14:textId="77777777" w:rsidR="002C45D1" w:rsidRDefault="002C45D1" w:rsidP="00611880">
      <w:pPr>
        <w:jc w:val="both"/>
        <w:rPr>
          <w:rFonts w:ascii="Times New Roman" w:hAnsi="Times New Roman" w:cs="Times New Roman"/>
        </w:rPr>
      </w:pPr>
    </w:p>
    <w:p w14:paraId="783C9D63" w14:textId="654B686A" w:rsidR="00611880" w:rsidRPr="004519DB" w:rsidRDefault="00611880" w:rsidP="00C934C6">
      <w:pPr>
        <w:pStyle w:val="Standard"/>
        <w:jc w:val="both"/>
        <w:rPr>
          <w:sz w:val="22"/>
          <w:szCs w:val="22"/>
        </w:rPr>
      </w:pPr>
      <w:r w:rsidRPr="004519DB">
        <w:rPr>
          <w:rFonts w:cs="Times New Roman"/>
          <w:sz w:val="22"/>
          <w:szCs w:val="22"/>
        </w:rPr>
        <w:t xml:space="preserve">W dniu </w:t>
      </w:r>
      <w:r w:rsidR="004519DB">
        <w:rPr>
          <w:rFonts w:cs="Times New Roman"/>
          <w:b/>
          <w:bCs/>
          <w:sz w:val="22"/>
          <w:szCs w:val="22"/>
        </w:rPr>
        <w:t>28</w:t>
      </w:r>
      <w:r w:rsidRPr="004519DB">
        <w:rPr>
          <w:rFonts w:cs="Times New Roman"/>
          <w:b/>
          <w:bCs/>
          <w:sz w:val="22"/>
          <w:szCs w:val="22"/>
        </w:rPr>
        <w:t xml:space="preserve"> </w:t>
      </w:r>
      <w:r w:rsidR="004519DB">
        <w:rPr>
          <w:rFonts w:cs="Times New Roman"/>
          <w:b/>
          <w:bCs/>
          <w:sz w:val="22"/>
          <w:szCs w:val="22"/>
        </w:rPr>
        <w:t>kwietnia</w:t>
      </w:r>
      <w:r w:rsidRPr="004519DB">
        <w:rPr>
          <w:rFonts w:cs="Times New Roman"/>
          <w:b/>
          <w:bCs/>
          <w:sz w:val="22"/>
          <w:szCs w:val="22"/>
        </w:rPr>
        <w:t xml:space="preserve">  2025 r. o godzinie 10</w:t>
      </w:r>
      <w:r w:rsidRPr="004519DB">
        <w:rPr>
          <w:rFonts w:cs="Times New Roman"/>
          <w:b/>
          <w:bCs/>
          <w:sz w:val="22"/>
          <w:szCs w:val="22"/>
          <w:vertAlign w:val="superscript"/>
        </w:rPr>
        <w:t>00</w:t>
      </w:r>
      <w:r w:rsidRPr="004519DB">
        <w:rPr>
          <w:rFonts w:cs="Times New Roman"/>
          <w:sz w:val="22"/>
          <w:szCs w:val="22"/>
        </w:rPr>
        <w:t xml:space="preserve"> w Urzędzie Miasta Pionki w Pionkach, przy </w:t>
      </w:r>
      <w:r w:rsidRPr="004519DB">
        <w:rPr>
          <w:rFonts w:cs="Times New Roman"/>
          <w:sz w:val="22"/>
          <w:szCs w:val="22"/>
        </w:rPr>
        <w:br/>
        <w:t>ul. Aleja Jana Pawła II 15,</w:t>
      </w:r>
      <w:r w:rsidR="00C934C6" w:rsidRPr="004519DB">
        <w:rPr>
          <w:rFonts w:cs="Times New Roman"/>
          <w:sz w:val="22"/>
          <w:szCs w:val="22"/>
        </w:rPr>
        <w:t xml:space="preserve"> </w:t>
      </w:r>
      <w:r w:rsidR="00C934C6" w:rsidRPr="004519DB">
        <w:rPr>
          <w:b/>
          <w:bCs/>
          <w:sz w:val="22"/>
          <w:szCs w:val="22"/>
        </w:rPr>
        <w:t xml:space="preserve">, pok. Nr 107 </w:t>
      </w:r>
      <w:r w:rsidRPr="004519DB">
        <w:rPr>
          <w:rFonts w:cs="Times New Roman"/>
          <w:sz w:val="22"/>
          <w:szCs w:val="22"/>
        </w:rPr>
        <w:t>rozpocznie się pierwszy ustny przetarg nieograniczony na najem Lokalu użytkowego o powierzchni 122,00 m</w:t>
      </w:r>
      <w:r w:rsidRPr="004519DB">
        <w:rPr>
          <w:rFonts w:cs="Times New Roman"/>
          <w:sz w:val="22"/>
          <w:szCs w:val="22"/>
          <w:vertAlign w:val="superscript"/>
        </w:rPr>
        <w:t>2</w:t>
      </w:r>
      <w:r w:rsidRPr="004519DB">
        <w:rPr>
          <w:rFonts w:cs="Times New Roman"/>
          <w:sz w:val="22"/>
          <w:szCs w:val="22"/>
        </w:rPr>
        <w:t xml:space="preserve"> znajdującego się na I piętrze w budynku położonym w Pionkach przy ul. Polnej 81. Budynek stanowi własność Gminy Miasta Pionki. Dla nieruchomości Sąd Rejonowy w Kozienicach V Wydział Ksiąg Wieczystych prowadzi księgę wieczystą KW RA2Z/00008109/7.</w:t>
      </w:r>
      <w:r w:rsidRPr="004519DB">
        <w:rPr>
          <w:sz w:val="22"/>
          <w:szCs w:val="22"/>
        </w:rPr>
        <w:t xml:space="preserve"> </w:t>
      </w:r>
      <w:r w:rsidRPr="004519DB">
        <w:rPr>
          <w:rFonts w:cs="Times New Roman"/>
          <w:sz w:val="22"/>
          <w:szCs w:val="22"/>
        </w:rPr>
        <w:t xml:space="preserve">Lokal przeznaczony jest pod działalność gastronomiczną. </w:t>
      </w:r>
    </w:p>
    <w:p w14:paraId="52C5CEC9" w14:textId="77777777" w:rsidR="002C45D1" w:rsidRPr="00011261" w:rsidRDefault="002C45D1" w:rsidP="002C45D1">
      <w:pPr>
        <w:pStyle w:val="Standard"/>
        <w:jc w:val="both"/>
        <w:rPr>
          <w:sz w:val="22"/>
          <w:szCs w:val="22"/>
        </w:rPr>
      </w:pPr>
      <w:r w:rsidRPr="00011261">
        <w:rPr>
          <w:sz w:val="22"/>
          <w:szCs w:val="22"/>
        </w:rPr>
        <w:t>W skład lokalu użytkowego wchodzi:</w:t>
      </w:r>
    </w:p>
    <w:p w14:paraId="099ACC9D" w14:textId="77777777" w:rsidR="002C45D1" w:rsidRDefault="002C45D1" w:rsidP="002C45D1">
      <w:pPr>
        <w:pStyle w:val="Standard"/>
        <w:jc w:val="both"/>
        <w:rPr>
          <w:sz w:val="22"/>
          <w:szCs w:val="22"/>
        </w:rPr>
      </w:pPr>
      <w:r w:rsidRPr="00011261">
        <w:rPr>
          <w:sz w:val="22"/>
          <w:szCs w:val="22"/>
        </w:rPr>
        <w:t>- kuchnia, chłodnia, magazyn, zaplecze, zmywalnia, sala restauracyjna, bar, pomieszczenia porządkowe, pomieszczeni</w:t>
      </w:r>
      <w:r>
        <w:rPr>
          <w:sz w:val="22"/>
          <w:szCs w:val="22"/>
        </w:rPr>
        <w:t>e</w:t>
      </w:r>
      <w:r w:rsidRPr="00011261">
        <w:rPr>
          <w:sz w:val="22"/>
          <w:szCs w:val="22"/>
        </w:rPr>
        <w:t xml:space="preserve"> socjalne dla pracowników , </w:t>
      </w:r>
      <w:proofErr w:type="spellStart"/>
      <w:r w:rsidRPr="00011261">
        <w:rPr>
          <w:sz w:val="22"/>
          <w:szCs w:val="22"/>
        </w:rPr>
        <w:t>wc</w:t>
      </w:r>
      <w:proofErr w:type="spellEnd"/>
      <w:r w:rsidRPr="00011261">
        <w:rPr>
          <w:sz w:val="22"/>
          <w:szCs w:val="22"/>
        </w:rPr>
        <w:t xml:space="preserve"> dla pracowników, </w:t>
      </w:r>
      <w:proofErr w:type="spellStart"/>
      <w:r w:rsidRPr="00011261">
        <w:rPr>
          <w:sz w:val="22"/>
          <w:szCs w:val="22"/>
        </w:rPr>
        <w:t>wc</w:t>
      </w:r>
      <w:proofErr w:type="spellEnd"/>
      <w:r w:rsidRPr="00011261">
        <w:rPr>
          <w:sz w:val="22"/>
          <w:szCs w:val="22"/>
        </w:rPr>
        <w:t xml:space="preserve"> dla kobiet z przedsionkiem, </w:t>
      </w:r>
      <w:proofErr w:type="spellStart"/>
      <w:r w:rsidRPr="00011261">
        <w:rPr>
          <w:sz w:val="22"/>
          <w:szCs w:val="22"/>
        </w:rPr>
        <w:t>wc</w:t>
      </w:r>
      <w:proofErr w:type="spellEnd"/>
      <w:r w:rsidRPr="00011261">
        <w:rPr>
          <w:sz w:val="22"/>
          <w:szCs w:val="22"/>
        </w:rPr>
        <w:t xml:space="preserve"> dla mężczyzn z przedsionkiem, </w:t>
      </w:r>
      <w:proofErr w:type="spellStart"/>
      <w:r w:rsidRPr="00011261">
        <w:rPr>
          <w:sz w:val="22"/>
          <w:szCs w:val="22"/>
        </w:rPr>
        <w:t>wc</w:t>
      </w:r>
      <w:proofErr w:type="spellEnd"/>
      <w:r w:rsidRPr="00011261">
        <w:rPr>
          <w:sz w:val="22"/>
          <w:szCs w:val="22"/>
        </w:rPr>
        <w:t xml:space="preserve"> dla osób niepełnosprawnych o łącznej  powierzchni </w:t>
      </w:r>
      <w:r>
        <w:rPr>
          <w:sz w:val="22"/>
          <w:szCs w:val="22"/>
        </w:rPr>
        <w:t>122,00</w:t>
      </w:r>
      <w:r w:rsidRPr="00011261">
        <w:rPr>
          <w:sz w:val="22"/>
          <w:szCs w:val="22"/>
        </w:rPr>
        <w:t xml:space="preserve"> m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>.</w:t>
      </w:r>
      <w:r w:rsidRPr="00011261">
        <w:rPr>
          <w:sz w:val="22"/>
          <w:szCs w:val="22"/>
        </w:rPr>
        <w:t xml:space="preserve"> </w:t>
      </w:r>
    </w:p>
    <w:p w14:paraId="12A8637A" w14:textId="282434DE" w:rsidR="002C45D1" w:rsidRDefault="004519DB" w:rsidP="002C45D1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Najemca</w:t>
      </w:r>
      <w:r w:rsidR="002C45D1" w:rsidRPr="00011261">
        <w:rPr>
          <w:sz w:val="22"/>
          <w:szCs w:val="22"/>
        </w:rPr>
        <w:t xml:space="preserve"> poza czynszem, ponosi opłaty z tytułu podatku od nieruchomości oraz opłaty z tytułu bieżących kosztów zużycia mediów: energii elektrycznej, wody i odprowadzania ścieków, wywóz nieczystości itp. </w:t>
      </w:r>
      <w:r>
        <w:rPr>
          <w:sz w:val="22"/>
          <w:szCs w:val="22"/>
        </w:rPr>
        <w:t>Najemca</w:t>
      </w:r>
      <w:r w:rsidR="002C45D1" w:rsidRPr="00011261">
        <w:rPr>
          <w:sz w:val="22"/>
          <w:szCs w:val="22"/>
        </w:rPr>
        <w:t xml:space="preserve"> na własny koszt  założy podliczniki  wody i energii elektrycznej oraz podpisze umowę z zewnętrznym podmiotem na wywóz odpadów</w:t>
      </w:r>
      <w:r w:rsidR="002C45D1">
        <w:rPr>
          <w:sz w:val="22"/>
          <w:szCs w:val="22"/>
        </w:rPr>
        <w:t>.</w:t>
      </w:r>
    </w:p>
    <w:p w14:paraId="6431BFD0" w14:textId="36853284" w:rsidR="002C45D1" w:rsidRDefault="002C45D1" w:rsidP="002C45D1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Stawka czynszu waloryzowana jest od dnia 1 stycznia każdego roku, o wskaźnik wzrostu cen towarów i usług konsumpcyjnych publikowany przez Prezesa GUS w Monitorze Polskim, dl</w:t>
      </w:r>
      <w:r w:rsidR="005F1576">
        <w:rPr>
          <w:sz w:val="22"/>
          <w:szCs w:val="22"/>
        </w:rPr>
        <w:t>a</w:t>
      </w:r>
      <w:r>
        <w:rPr>
          <w:sz w:val="22"/>
          <w:szCs w:val="22"/>
        </w:rPr>
        <w:t xml:space="preserve"> roku poprzedniego. Waloryzacja następuje automatycznie bez konieczności zmiany umowy. Szczegółowe warunki</w:t>
      </w:r>
      <w:r w:rsidR="004519DB">
        <w:rPr>
          <w:sz w:val="22"/>
          <w:szCs w:val="22"/>
        </w:rPr>
        <w:t xml:space="preserve"> najmu</w:t>
      </w:r>
      <w:r>
        <w:rPr>
          <w:sz w:val="22"/>
          <w:szCs w:val="22"/>
        </w:rPr>
        <w:t xml:space="preserve"> określone zostaną w umowie</w:t>
      </w:r>
      <w:r w:rsidR="00C934C6">
        <w:rPr>
          <w:sz w:val="22"/>
          <w:szCs w:val="22"/>
        </w:rPr>
        <w:t>, której obowiązywanie nastąpi od dnia 1 października 2025 r.</w:t>
      </w:r>
    </w:p>
    <w:p w14:paraId="0E0A5415" w14:textId="7D63E62A" w:rsidR="002C45D1" w:rsidRDefault="002C45D1" w:rsidP="002C45D1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Jako zabezpieczenie prawidłowej realizacji umowy </w:t>
      </w:r>
      <w:r w:rsidR="004519DB">
        <w:rPr>
          <w:sz w:val="22"/>
          <w:szCs w:val="22"/>
        </w:rPr>
        <w:t>Najemca</w:t>
      </w:r>
      <w:r>
        <w:rPr>
          <w:sz w:val="22"/>
          <w:szCs w:val="22"/>
        </w:rPr>
        <w:t xml:space="preserve"> przed podpisaniem umowy </w:t>
      </w:r>
      <w:r w:rsidR="004519DB">
        <w:rPr>
          <w:sz w:val="22"/>
          <w:szCs w:val="22"/>
        </w:rPr>
        <w:t>najmu</w:t>
      </w:r>
      <w:r>
        <w:rPr>
          <w:sz w:val="22"/>
          <w:szCs w:val="22"/>
        </w:rPr>
        <w:t xml:space="preserve"> wpłaci kaucję gwarancyjną w kwocie równej trzykrotności miesięcznego czynszu brutto na rachunek Wydzierżawiającego.</w:t>
      </w:r>
    </w:p>
    <w:p w14:paraId="3D485D41" w14:textId="77777777" w:rsidR="002C45D1" w:rsidRDefault="002C45D1" w:rsidP="00C934C6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Miasto umożliwi przeprowadzenie wizji lokalnej po uprzednim ustaleniu pod numerem telefonu.</w:t>
      </w:r>
    </w:p>
    <w:p w14:paraId="6BDABE6C" w14:textId="77777777" w:rsidR="00C934C6" w:rsidRPr="00C934C6" w:rsidRDefault="00C934C6" w:rsidP="00C934C6">
      <w:pPr>
        <w:pStyle w:val="Standard"/>
        <w:jc w:val="both"/>
      </w:pPr>
    </w:p>
    <w:p w14:paraId="41C8373C" w14:textId="2306DB9C" w:rsidR="00C934C6" w:rsidRPr="00C934C6" w:rsidRDefault="00C934C6" w:rsidP="00C934C6">
      <w:pPr>
        <w:pStyle w:val="Standard"/>
        <w:jc w:val="both"/>
      </w:pPr>
      <w:r w:rsidRPr="00C934C6">
        <w:rPr>
          <w:b/>
          <w:bCs/>
        </w:rPr>
        <w:t>Forma sprzedaży: I ustny przetarg nieograniczony</w:t>
      </w:r>
      <w:r w:rsidRPr="00C934C6">
        <w:t xml:space="preserve">. </w:t>
      </w:r>
    </w:p>
    <w:p w14:paraId="38FBD855" w14:textId="77777777" w:rsidR="00C934C6" w:rsidRPr="00C934C6" w:rsidRDefault="00C934C6" w:rsidP="00C934C6">
      <w:pPr>
        <w:pStyle w:val="Standard"/>
        <w:jc w:val="both"/>
      </w:pPr>
      <w:r w:rsidRPr="00C934C6">
        <w:t xml:space="preserve">Nieruchomość jest wolna od obciążeń i zobowiązań. </w:t>
      </w:r>
    </w:p>
    <w:p w14:paraId="30A6FF0F" w14:textId="233715C2" w:rsidR="00C934C6" w:rsidRPr="00C934C6" w:rsidRDefault="00C934C6" w:rsidP="00C934C6">
      <w:pPr>
        <w:pStyle w:val="Standard"/>
        <w:numPr>
          <w:ilvl w:val="0"/>
          <w:numId w:val="3"/>
        </w:numPr>
        <w:jc w:val="both"/>
      </w:pPr>
      <w:r w:rsidRPr="00C934C6">
        <w:rPr>
          <w:b/>
          <w:bCs/>
        </w:rPr>
        <w:t xml:space="preserve">Cena wywoławcza nieruchomości: </w:t>
      </w:r>
      <w:r w:rsidRPr="00C934C6">
        <w:rPr>
          <w:rFonts w:cs="Times New Roman"/>
          <w:b/>
          <w:bCs/>
        </w:rPr>
        <w:t>38,04 zł /m</w:t>
      </w:r>
      <w:r w:rsidRPr="00C934C6">
        <w:rPr>
          <w:rFonts w:cs="Times New Roman"/>
          <w:b/>
          <w:bCs/>
          <w:vertAlign w:val="superscript"/>
        </w:rPr>
        <w:t>2</w:t>
      </w:r>
      <w:r w:rsidRPr="00C934C6">
        <w:t xml:space="preserve"> (</w:t>
      </w:r>
      <w:r>
        <w:t>plus vat</w:t>
      </w:r>
      <w:r w:rsidRPr="00C934C6">
        <w:t xml:space="preserve">) </w:t>
      </w:r>
    </w:p>
    <w:p w14:paraId="69987ACA" w14:textId="77777777" w:rsidR="00C934C6" w:rsidRDefault="00C934C6" w:rsidP="00C934C6">
      <w:pPr>
        <w:pStyle w:val="Standard"/>
        <w:numPr>
          <w:ilvl w:val="0"/>
          <w:numId w:val="3"/>
        </w:numPr>
        <w:jc w:val="both"/>
      </w:pPr>
      <w:r w:rsidRPr="00C934C6">
        <w:rPr>
          <w:b/>
          <w:bCs/>
        </w:rPr>
        <w:t xml:space="preserve">Wadium: </w:t>
      </w:r>
      <w:r>
        <w:rPr>
          <w:b/>
          <w:bCs/>
        </w:rPr>
        <w:t>1 000</w:t>
      </w:r>
      <w:r w:rsidRPr="00C934C6">
        <w:rPr>
          <w:b/>
          <w:bCs/>
        </w:rPr>
        <w:t xml:space="preserve">,00 zł (wniesione w pieniądzu) </w:t>
      </w:r>
    </w:p>
    <w:p w14:paraId="15105C34" w14:textId="77777777" w:rsidR="00C934C6" w:rsidRDefault="00C934C6" w:rsidP="002C45D1">
      <w:pPr>
        <w:jc w:val="both"/>
        <w:rPr>
          <w:rFonts w:ascii="Times New Roman" w:hAnsi="Times New Roman" w:cs="Times New Roman"/>
          <w:u w:val="single"/>
        </w:rPr>
      </w:pPr>
    </w:p>
    <w:p w14:paraId="79EE069D" w14:textId="1FC649F7" w:rsidR="00611880" w:rsidRPr="00C934C6" w:rsidRDefault="00611880" w:rsidP="002C45D1">
      <w:pPr>
        <w:jc w:val="both"/>
        <w:rPr>
          <w:rFonts w:ascii="Times New Roman" w:hAnsi="Times New Roman" w:cs="Times New Roman"/>
          <w:u w:val="single"/>
        </w:rPr>
      </w:pPr>
      <w:r w:rsidRPr="00C934C6">
        <w:rPr>
          <w:rFonts w:ascii="Times New Roman" w:hAnsi="Times New Roman" w:cs="Times New Roman"/>
          <w:u w:val="single"/>
        </w:rPr>
        <w:t xml:space="preserve">Warunki uczestnictwa w przetargu: </w:t>
      </w:r>
    </w:p>
    <w:p w14:paraId="0372E481" w14:textId="39B86758" w:rsidR="00611880" w:rsidRPr="002C45D1" w:rsidRDefault="00611880" w:rsidP="002C45D1">
      <w:pPr>
        <w:jc w:val="both"/>
        <w:rPr>
          <w:rFonts w:ascii="Times New Roman" w:hAnsi="Times New Roman" w:cs="Times New Roman"/>
        </w:rPr>
      </w:pPr>
      <w:r w:rsidRPr="002C45D1">
        <w:rPr>
          <w:rFonts w:ascii="Times New Roman" w:hAnsi="Times New Roman" w:cs="Times New Roman"/>
        </w:rPr>
        <w:t xml:space="preserve">Udział w przetargu mogą brać osoby fizyczne lub prawne, które wniosą wadium w wysokości podanej powyżej, w formie pieniężnej. Wpłaty wadium można dokonać przelewem na konto bankowe Gminy Miasta Pionki nr </w:t>
      </w:r>
      <w:r w:rsidRPr="002C45D1">
        <w:rPr>
          <w:rFonts w:ascii="Times New Roman" w:hAnsi="Times New Roman" w:cs="Times New Roman"/>
          <w:b/>
        </w:rPr>
        <w:t xml:space="preserve">04 9141 0005 0000 0231 2000 0100 </w:t>
      </w:r>
      <w:r w:rsidRPr="002C45D1">
        <w:rPr>
          <w:rFonts w:ascii="Times New Roman" w:hAnsi="Times New Roman" w:cs="Times New Roman"/>
        </w:rPr>
        <w:t xml:space="preserve">z zaznaczeniem „Wadium na przetarg ustny nieograniczony, najem lokalu gastronomicznego, imię i nazwisko lub nazwa firmy”. Wadium winno być uznane na rachunku Gminy Miasta Pionki najpóźniej do dnia </w:t>
      </w:r>
      <w:r w:rsidR="004519DB">
        <w:rPr>
          <w:rFonts w:ascii="Times New Roman" w:hAnsi="Times New Roman" w:cs="Times New Roman"/>
        </w:rPr>
        <w:t>24</w:t>
      </w:r>
      <w:r w:rsidRPr="002C45D1">
        <w:rPr>
          <w:rFonts w:ascii="Times New Roman" w:hAnsi="Times New Roman" w:cs="Times New Roman"/>
        </w:rPr>
        <w:t xml:space="preserve"> </w:t>
      </w:r>
      <w:r w:rsidR="004519DB">
        <w:rPr>
          <w:rFonts w:ascii="Times New Roman" w:hAnsi="Times New Roman" w:cs="Times New Roman"/>
        </w:rPr>
        <w:t>kwietnia</w:t>
      </w:r>
      <w:r w:rsidRPr="002C45D1">
        <w:rPr>
          <w:rFonts w:ascii="Times New Roman" w:hAnsi="Times New Roman" w:cs="Times New Roman"/>
        </w:rPr>
        <w:t xml:space="preserve"> 2025 r. </w:t>
      </w:r>
    </w:p>
    <w:p w14:paraId="229F136B" w14:textId="77777777" w:rsidR="002C45D1" w:rsidRPr="002C45D1" w:rsidRDefault="002C45D1" w:rsidP="002C45D1">
      <w:pPr>
        <w:spacing w:after="3" w:line="272" w:lineRule="auto"/>
        <w:ind w:left="-5" w:right="-10"/>
        <w:jc w:val="both"/>
        <w:rPr>
          <w:rFonts w:ascii="Times New Roman" w:hAnsi="Times New Roman" w:cs="Times New Roman"/>
        </w:rPr>
      </w:pPr>
      <w:r w:rsidRPr="002C45D1">
        <w:rPr>
          <w:rFonts w:ascii="Times New Roman" w:hAnsi="Times New Roman" w:cs="Times New Roman"/>
        </w:rPr>
        <w:t xml:space="preserve">Przed otwarciem przetargu jego uczestnik winien przedłożyć komisji przetargowej dowód tożsamości. </w:t>
      </w:r>
      <w:r w:rsidRPr="002C45D1">
        <w:rPr>
          <w:rFonts w:ascii="Times New Roman" w:hAnsi="Times New Roman" w:cs="Times New Roman"/>
          <w:color w:val="000000"/>
        </w:rPr>
        <w:t>W przypadku, gdy uczestnikiem przetargu jest osoba inna niż osoba fizyczna, osoba upoważniona do reprezentowania uczestnika powinna przedłożyć do wglądu aktualny wypis z Krajowego Rejestru Sądowego,  a osoba prowadząca działalność gospodarczą zaświadczenie o wpisie do ewidencji działalności gospodarczej.</w:t>
      </w:r>
      <w:r w:rsidRPr="002C45D1">
        <w:rPr>
          <w:rFonts w:ascii="Times New Roman" w:hAnsi="Times New Roman" w:cs="Times New Roman"/>
        </w:rPr>
        <w:t xml:space="preserve"> </w:t>
      </w:r>
    </w:p>
    <w:p w14:paraId="4BB8AAB0" w14:textId="77777777" w:rsidR="002C45D1" w:rsidRPr="002C45D1" w:rsidRDefault="002C45D1" w:rsidP="002C45D1">
      <w:pPr>
        <w:spacing w:after="3" w:line="272" w:lineRule="auto"/>
        <w:ind w:left="-5" w:right="-10"/>
        <w:jc w:val="both"/>
        <w:rPr>
          <w:rFonts w:ascii="Times New Roman" w:hAnsi="Times New Roman" w:cs="Times New Roman"/>
        </w:rPr>
      </w:pPr>
      <w:r w:rsidRPr="002C45D1">
        <w:rPr>
          <w:rFonts w:ascii="Times New Roman" w:hAnsi="Times New Roman" w:cs="Times New Roman"/>
          <w:color w:val="000000"/>
        </w:rPr>
        <w:t xml:space="preserve">Jeżeli uczestnik jest reprezentowany przez pełnomocnika, konieczne jest przedłożenie oryginału pełnomocnictwa upoważniającego do działania na każdym etapie postępowania przetargowego. </w:t>
      </w:r>
    </w:p>
    <w:p w14:paraId="06791255" w14:textId="5BC8D978" w:rsidR="002C45D1" w:rsidRPr="00C934C6" w:rsidRDefault="002C45D1" w:rsidP="002C45D1">
      <w:pPr>
        <w:ind w:left="-5"/>
        <w:jc w:val="both"/>
        <w:rPr>
          <w:rFonts w:ascii="Times New Roman" w:hAnsi="Times New Roman" w:cs="Times New Roman"/>
        </w:rPr>
      </w:pPr>
      <w:r w:rsidRPr="002C45D1">
        <w:rPr>
          <w:rFonts w:ascii="Times New Roman" w:hAnsi="Times New Roman" w:cs="Times New Roman"/>
        </w:rPr>
        <w:t xml:space="preserve">W przypadku małżeństw wymagana jest obecność obojga małżonków lub jednego z nich posiadającego </w:t>
      </w:r>
      <w:r w:rsidRPr="00C934C6">
        <w:rPr>
          <w:rFonts w:ascii="Times New Roman" w:hAnsi="Times New Roman" w:cs="Times New Roman"/>
        </w:rPr>
        <w:t xml:space="preserve">pisemne upoważnienie współmałżonka do udziału w przetargu  i dokonywania postąpień. </w:t>
      </w:r>
    </w:p>
    <w:p w14:paraId="21F7A836" w14:textId="45D64BD0" w:rsidR="002C45D1" w:rsidRDefault="002C45D1" w:rsidP="00C934C6">
      <w:pPr>
        <w:ind w:left="-5"/>
        <w:jc w:val="both"/>
        <w:rPr>
          <w:rFonts w:ascii="Times New Roman" w:hAnsi="Times New Roman" w:cs="Times New Roman"/>
        </w:rPr>
      </w:pPr>
      <w:r w:rsidRPr="00C934C6">
        <w:rPr>
          <w:rFonts w:ascii="Times New Roman" w:hAnsi="Times New Roman" w:cs="Times New Roman"/>
        </w:rPr>
        <w:lastRenderedPageBreak/>
        <w:t xml:space="preserve">Wadium wpłacone przez uczestnika, który przetarg wygrał, zalicza się na poczet </w:t>
      </w:r>
      <w:r w:rsidR="00290CB1">
        <w:rPr>
          <w:rFonts w:ascii="Times New Roman" w:hAnsi="Times New Roman" w:cs="Times New Roman"/>
        </w:rPr>
        <w:t>czynszu dzierżawnego</w:t>
      </w:r>
      <w:r w:rsidRPr="00C934C6">
        <w:rPr>
          <w:rFonts w:ascii="Times New Roman" w:hAnsi="Times New Roman" w:cs="Times New Roman"/>
        </w:rPr>
        <w:t>. Pozostałym uczestnikom przetargu wadium zostanie zwrócone  w ciągu 3 dni od odwołania, zamknięcia, unieważnienia lub zakończenia przetargu wynikiem negatywnym, w sposób odpowiadający formie wnoszenia.</w:t>
      </w:r>
      <w:r w:rsidRPr="00C934C6">
        <w:rPr>
          <w:rFonts w:ascii="Times New Roman" w:hAnsi="Times New Roman" w:cs="Times New Roman"/>
          <w:color w:val="000000"/>
        </w:rPr>
        <w:t xml:space="preserve"> 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</w:t>
      </w:r>
      <w:r w:rsidR="00290CB1">
        <w:rPr>
          <w:rFonts w:ascii="Times New Roman" w:hAnsi="Times New Roman" w:cs="Times New Roman"/>
          <w:color w:val="000000"/>
        </w:rPr>
        <w:t>0</w:t>
      </w:r>
      <w:r w:rsidRPr="00C934C6">
        <w:rPr>
          <w:rFonts w:ascii="Times New Roman" w:hAnsi="Times New Roman" w:cs="Times New Roman"/>
          <w:color w:val="000000"/>
        </w:rPr>
        <w:t>% ceny wywoławczej,  z zaokrągleniem w górę do pełnych dziesiątek złotych.</w:t>
      </w:r>
      <w:r w:rsidRPr="00C934C6">
        <w:rPr>
          <w:rFonts w:ascii="Times New Roman" w:hAnsi="Times New Roman" w:cs="Times New Roman"/>
        </w:rPr>
        <w:t>. Jeżeli osoba ustalona jako n</w:t>
      </w:r>
      <w:r w:rsidR="004519DB">
        <w:rPr>
          <w:rFonts w:ascii="Times New Roman" w:hAnsi="Times New Roman" w:cs="Times New Roman"/>
        </w:rPr>
        <w:t>ajemca</w:t>
      </w:r>
      <w:r w:rsidRPr="00C934C6">
        <w:rPr>
          <w:rFonts w:ascii="Times New Roman" w:hAnsi="Times New Roman" w:cs="Times New Roman"/>
        </w:rPr>
        <w:t xml:space="preserve"> nieruchomości nie przystąpi bez usprawiedliwienia do zawarcia umowy </w:t>
      </w:r>
      <w:r w:rsidR="004519DB">
        <w:rPr>
          <w:rFonts w:ascii="Times New Roman" w:hAnsi="Times New Roman" w:cs="Times New Roman"/>
        </w:rPr>
        <w:t xml:space="preserve"> najmu </w:t>
      </w:r>
      <w:r w:rsidRPr="00C934C6">
        <w:rPr>
          <w:rFonts w:ascii="Times New Roman" w:hAnsi="Times New Roman" w:cs="Times New Roman"/>
        </w:rPr>
        <w:t xml:space="preserve">w miejscu i w terminie podanym w zawiadomieniu, organizator przetargu może odstąpić od zawarcia umowy, a wpłacone wadium nie podlega zwrotowi. Burmistrz Miasta zastrzega sobie prawo możliwości odwołania przetargu z ważnych powodów. </w:t>
      </w:r>
    </w:p>
    <w:p w14:paraId="0B8FD1DB" w14:textId="053233D2" w:rsidR="00C934C6" w:rsidRPr="00C934C6" w:rsidRDefault="00C934C6" w:rsidP="00C934C6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C934C6">
        <w:rPr>
          <w:sz w:val="22"/>
          <w:szCs w:val="22"/>
        </w:rPr>
        <w:t>Szczegółowe informacje o przedmiocie i warunkach przetargu można uzyskać w Wydziale Gospodarowania Mieniem pok. nr 21</w:t>
      </w:r>
      <w:r>
        <w:rPr>
          <w:sz w:val="22"/>
          <w:szCs w:val="22"/>
        </w:rPr>
        <w:t>5</w:t>
      </w:r>
      <w:r w:rsidRPr="00C934C6">
        <w:rPr>
          <w:sz w:val="22"/>
          <w:szCs w:val="22"/>
        </w:rPr>
        <w:t xml:space="preserve"> lub telefonicznie 7</w:t>
      </w:r>
      <w:r>
        <w:rPr>
          <w:sz w:val="22"/>
          <w:szCs w:val="22"/>
        </w:rPr>
        <w:t>90-286-060</w:t>
      </w:r>
      <w:r w:rsidRPr="00C934C6">
        <w:rPr>
          <w:sz w:val="22"/>
          <w:szCs w:val="22"/>
        </w:rPr>
        <w:t>.</w:t>
      </w:r>
    </w:p>
    <w:p w14:paraId="30E63BC5" w14:textId="27727782" w:rsidR="00C934C6" w:rsidRPr="00C934C6" w:rsidRDefault="00C934C6" w:rsidP="00C934C6">
      <w:pPr>
        <w:ind w:left="-5"/>
        <w:rPr>
          <w:rFonts w:ascii="Times New Roman" w:hAnsi="Times New Roman" w:cs="Times New Roman"/>
        </w:rPr>
      </w:pPr>
      <w:r w:rsidRPr="00C934C6">
        <w:t xml:space="preserve">                                                                                               </w:t>
      </w:r>
    </w:p>
    <w:p w14:paraId="3CE76BCB" w14:textId="5D8E58A6" w:rsidR="00C934C6" w:rsidRPr="00C934C6" w:rsidRDefault="00C934C6" w:rsidP="00C934C6">
      <w:pPr>
        <w:pStyle w:val="Standard"/>
        <w:jc w:val="both"/>
        <w:rPr>
          <w:sz w:val="22"/>
          <w:szCs w:val="22"/>
        </w:rPr>
      </w:pPr>
      <w:r w:rsidRPr="00C934C6">
        <w:rPr>
          <w:sz w:val="22"/>
          <w:szCs w:val="22"/>
        </w:rPr>
        <w:t xml:space="preserve">Pionki, dnia </w:t>
      </w:r>
      <w:r w:rsidR="004519DB">
        <w:rPr>
          <w:sz w:val="22"/>
          <w:szCs w:val="22"/>
        </w:rPr>
        <w:t>24.03.2025</w:t>
      </w:r>
      <w:r w:rsidRPr="00C934C6">
        <w:rPr>
          <w:sz w:val="22"/>
          <w:szCs w:val="22"/>
        </w:rPr>
        <w:t xml:space="preserve"> r.                                                      </w:t>
      </w:r>
      <w:r w:rsidRPr="00C934C6">
        <w:rPr>
          <w:sz w:val="22"/>
          <w:szCs w:val="22"/>
        </w:rPr>
        <w:tab/>
      </w:r>
      <w:r w:rsidR="004519DB">
        <w:rPr>
          <w:sz w:val="22"/>
          <w:szCs w:val="22"/>
        </w:rPr>
        <w:t xml:space="preserve">                  </w:t>
      </w:r>
      <w:r w:rsidRPr="00C934C6">
        <w:rPr>
          <w:sz w:val="22"/>
          <w:szCs w:val="22"/>
        </w:rPr>
        <w:t>Burmistrz Miasta Pionki</w:t>
      </w:r>
    </w:p>
    <w:p w14:paraId="4FF04112" w14:textId="67B2451B" w:rsidR="004A2DFE" w:rsidRPr="00C934C6" w:rsidRDefault="004A2DFE" w:rsidP="00611880">
      <w:pPr>
        <w:jc w:val="both"/>
        <w:rPr>
          <w:rFonts w:ascii="Times New Roman" w:hAnsi="Times New Roman" w:cs="Times New Roman"/>
        </w:rPr>
      </w:pPr>
    </w:p>
    <w:sectPr w:rsidR="004A2DFE" w:rsidRPr="00C934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ED1B4A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9646AD3"/>
    <w:multiLevelType w:val="hybridMultilevel"/>
    <w:tmpl w:val="2AEA9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C5597"/>
    <w:multiLevelType w:val="hybridMultilevel"/>
    <w:tmpl w:val="75ACD3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219167">
    <w:abstractNumId w:val="2"/>
  </w:num>
  <w:num w:numId="2" w16cid:durableId="8263945">
    <w:abstractNumId w:val="1"/>
  </w:num>
  <w:num w:numId="3" w16cid:durableId="1082490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880"/>
    <w:rsid w:val="00290CB1"/>
    <w:rsid w:val="002C45D1"/>
    <w:rsid w:val="004519DB"/>
    <w:rsid w:val="004A2DFE"/>
    <w:rsid w:val="005003F5"/>
    <w:rsid w:val="005B2F6C"/>
    <w:rsid w:val="005F1576"/>
    <w:rsid w:val="00611880"/>
    <w:rsid w:val="00634EDD"/>
    <w:rsid w:val="00741F32"/>
    <w:rsid w:val="0074530E"/>
    <w:rsid w:val="007A7BBF"/>
    <w:rsid w:val="00C934C6"/>
    <w:rsid w:val="00CB2A53"/>
    <w:rsid w:val="00CF0289"/>
    <w:rsid w:val="00EF72CD"/>
    <w:rsid w:val="00FA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148BE"/>
  <w15:chartTrackingRefBased/>
  <w15:docId w15:val="{351E9864-2A2A-40AE-9BB4-4FA60E3EC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18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18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18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18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18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18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8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18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18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18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18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18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188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188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18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8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18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18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18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18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18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18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18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18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18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188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18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188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1880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qFormat/>
    <w:rsid w:val="00611880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A"/>
      <w:kern w:val="0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705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Janowicz</dc:creator>
  <cp:keywords/>
  <dc:description/>
  <cp:lastModifiedBy>Paulina Janowicz</cp:lastModifiedBy>
  <cp:revision>3</cp:revision>
  <cp:lastPrinted>2025-03-25T11:53:00Z</cp:lastPrinted>
  <dcterms:created xsi:type="dcterms:W3CDTF">2025-03-21T08:07:00Z</dcterms:created>
  <dcterms:modified xsi:type="dcterms:W3CDTF">2025-03-25T11:56:00Z</dcterms:modified>
</cp:coreProperties>
</file>