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Pionki, dnia 1</w:t>
      </w:r>
      <w:r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01</w:t>
      </w:r>
      <w:r>
        <w:rPr>
          <w:rFonts w:ascii="Times New Roman" w:hAnsi="Times New Roman"/>
          <w:sz w:val="24"/>
          <w:szCs w:val="24"/>
        </w:rPr>
        <w:t>.202</w:t>
      </w:r>
      <w:r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r.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KŚ.6220.1.202</w:t>
      </w:r>
      <w:r>
        <w:rPr>
          <w:rFonts w:ascii="Times New Roman" w:hAnsi="Times New Roman"/>
          <w:sz w:val="24"/>
          <w:szCs w:val="24"/>
        </w:rPr>
        <w:t>5</w:t>
      </w:r>
    </w:p>
    <w:p>
      <w:pPr>
        <w:pStyle w:val="Normal"/>
        <w:widowControl/>
        <w:shd w:val="clear" w:color="auto" w:fill="FFFFFF"/>
        <w:suppressAutoHyphens w:val="false"/>
        <w:spacing w:lineRule="auto" w:line="276"/>
        <w:jc w:val="both"/>
        <w:rPr>
          <w:rFonts w:ascii="Times New Roman" w:hAnsi="Times New Roman" w:eastAsia="Times New Roman" w:cs="Times New Roman"/>
          <w:b/>
          <w:b/>
          <w:color w:val="333333"/>
          <w:kern w:val="0"/>
          <w:sz w:val="24"/>
          <w:szCs w:val="24"/>
          <w:lang w:eastAsia="pl-PL" w:bidi="ar-SA"/>
        </w:rPr>
      </w:pPr>
      <w:r>
        <w:rPr>
          <w:rFonts w:eastAsia="Times New Roman" w:cs="Times New Roman" w:ascii="Times New Roman" w:hAnsi="Times New Roman"/>
          <w:b/>
          <w:color w:val="333333"/>
          <w:kern w:val="0"/>
          <w:sz w:val="24"/>
          <w:szCs w:val="24"/>
          <w:lang w:eastAsia="pl-PL" w:bidi="ar-SA"/>
        </w:rPr>
      </w:r>
    </w:p>
    <w:p>
      <w:pPr>
        <w:pStyle w:val="Normal"/>
        <w:widowControl/>
        <w:shd w:val="clear" w:color="auto" w:fill="FFFFFF"/>
        <w:suppressAutoHyphens w:val="false"/>
        <w:spacing w:lineRule="auto" w:line="276" w:before="0" w:after="0"/>
        <w:jc w:val="center"/>
        <w:textAlignment w:val="center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333333"/>
          <w:kern w:val="0"/>
          <w:sz w:val="24"/>
          <w:szCs w:val="24"/>
          <w:lang w:eastAsia="pl-PL" w:bidi="ar-SA"/>
        </w:rPr>
        <w:t>Z A W I A D O M I E N I E</w:t>
      </w:r>
    </w:p>
    <w:p>
      <w:pPr>
        <w:pStyle w:val="Normal"/>
        <w:widowControl/>
        <w:shd w:val="clear" w:color="auto" w:fill="FFFFFF"/>
        <w:suppressAutoHyphens w:val="false"/>
        <w:spacing w:lineRule="auto" w:line="276"/>
        <w:jc w:val="center"/>
        <w:textAlignment w:val="center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color w:val="333333"/>
          <w:kern w:val="0"/>
          <w:sz w:val="24"/>
          <w:szCs w:val="24"/>
          <w:lang w:eastAsia="pl-PL" w:bidi="ar-SA"/>
        </w:rPr>
        <w:t>o wszczęciu postępowania</w:t>
      </w:r>
    </w:p>
    <w:p>
      <w:pPr>
        <w:pStyle w:val="Normal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color w:val="333333"/>
          <w:kern w:val="0"/>
          <w:sz w:val="24"/>
          <w:szCs w:val="24"/>
          <w:lang w:eastAsia="pl-PL" w:bidi="ar-SA"/>
        </w:rPr>
        <w:t xml:space="preserve">Na podstawie art. 61 § 4 ustawy z dnia 14 czerwca 1960 r. – Kodeks </w:t>
      </w:r>
      <w:r>
        <w:rPr>
          <w:rFonts w:eastAsia="NeoSansPro-Regular" w:cs="Times New Roman" w:ascii="Times New Roman" w:hAnsi="Times New Roman"/>
          <w:color w:val="000000"/>
          <w:sz w:val="24"/>
          <w:szCs w:val="24"/>
        </w:rPr>
        <w:t xml:space="preserve">postępowania administracyjnego (t.j. Dz. U. z 2024 r. poz. 572 z późn. zm.) w zw. z art. 73 ust. 1 </w:t>
      </w:r>
      <w:r>
        <w:rPr>
          <w:rFonts w:eastAsia="Times New Roman" w:cs="Times New Roman" w:ascii="Times New Roman" w:hAnsi="Times New Roman"/>
          <w:color w:val="333333"/>
          <w:kern w:val="0"/>
          <w:sz w:val="24"/>
          <w:szCs w:val="24"/>
          <w:lang w:eastAsia="pl-PL" w:bidi="ar-SA"/>
        </w:rPr>
        <w:t xml:space="preserve"> i art. 74 ust. 3 ustawy z dnia 3 października 2008 r. o udostępnianiu informacji o środowisku i jego ochronie, udziale społeczeństwa w ochronie środowiska oraz o ocenach oddziaływania na środowisko </w:t>
      </w:r>
      <w:r>
        <w:rPr>
          <w:rFonts w:eastAsia="Times New Roman" w:cs="Times New Roman" w:ascii="Times New Roman" w:hAnsi="Times New Roman"/>
          <w:caps w:val="false"/>
          <w:smallCaps w:val="false"/>
          <w:color w:val="333333"/>
          <w:spacing w:val="0"/>
          <w:kern w:val="0"/>
          <w:sz w:val="24"/>
          <w:szCs w:val="24"/>
          <w:lang w:eastAsia="pl-PL" w:bidi="ar-SA"/>
        </w:rPr>
        <w:t> </w:t>
      </w:r>
      <w:r>
        <w:rPr>
          <w:rFonts w:eastAsia="Times New Roman" w:cs="Times New Roman" w:ascii="Times New Roman" w:hAnsi="Times New Roman"/>
          <w:b w:val="false"/>
          <w:i w:val="false"/>
          <w:caps w:val="false"/>
          <w:smallCaps w:val="false"/>
          <w:color w:val="333333"/>
          <w:spacing w:val="0"/>
          <w:kern w:val="0"/>
          <w:sz w:val="24"/>
          <w:szCs w:val="24"/>
          <w:lang w:eastAsia="pl-PL" w:bidi="ar-SA"/>
        </w:rPr>
        <w:t>(t.j. Dz. U. z 2024 r. poz. 1112).</w:t>
      </w:r>
      <w:r>
        <w:rPr>
          <w:rFonts w:eastAsia="Times New Roman" w:cs="Times New Roman" w:ascii="Times New Roman" w:hAnsi="Times New Roman"/>
          <w:color w:val="333333"/>
          <w:kern w:val="0"/>
          <w:sz w:val="24"/>
          <w:szCs w:val="24"/>
          <w:lang w:eastAsia="pl-PL" w:bidi="ar-SA"/>
        </w:rPr>
        <w:t xml:space="preserve">  – </w:t>
      </w:r>
      <w:r>
        <w:rPr>
          <w:rFonts w:eastAsia="Times New Roman" w:cs="Times New Roman" w:ascii="Times New Roman" w:hAnsi="Times New Roman"/>
          <w:kern w:val="0"/>
          <w:sz w:val="24"/>
          <w:szCs w:val="24"/>
          <w:lang w:eastAsia="pl-PL" w:bidi="ar-SA"/>
        </w:rPr>
        <w:t>Burmistrz Miasta Pionki dnia 1</w:t>
      </w:r>
      <w:r>
        <w:rPr>
          <w:rFonts w:eastAsia="Times New Roman" w:cs="Times New Roman" w:ascii="Times New Roman" w:hAnsi="Times New Roman"/>
          <w:kern w:val="0"/>
          <w:sz w:val="24"/>
          <w:szCs w:val="24"/>
          <w:lang w:eastAsia="pl-PL" w:bidi="ar-SA"/>
        </w:rPr>
        <w:t>4</w:t>
      </w:r>
      <w:r>
        <w:rPr>
          <w:rFonts w:eastAsia="Times New Roman" w:cs="Times New Roman" w:ascii="Times New Roman" w:hAnsi="Times New Roman"/>
          <w:kern w:val="0"/>
          <w:sz w:val="24"/>
          <w:szCs w:val="24"/>
          <w:lang w:eastAsia="pl-PL" w:bidi="ar-SA"/>
        </w:rPr>
        <w:t>.</w:t>
      </w:r>
      <w:r>
        <w:rPr>
          <w:rFonts w:eastAsia="Times New Roman" w:cs="Times New Roman" w:ascii="Times New Roman" w:hAnsi="Times New Roman"/>
          <w:kern w:val="0"/>
          <w:sz w:val="24"/>
          <w:szCs w:val="24"/>
          <w:lang w:eastAsia="pl-PL" w:bidi="ar-SA"/>
        </w:rPr>
        <w:t>01</w:t>
      </w:r>
      <w:r>
        <w:rPr>
          <w:rFonts w:eastAsia="Times New Roman" w:cs="Times New Roman" w:ascii="Times New Roman" w:hAnsi="Times New Roman"/>
          <w:kern w:val="0"/>
          <w:sz w:val="24"/>
          <w:szCs w:val="24"/>
          <w:lang w:eastAsia="pl-PL" w:bidi="ar-SA"/>
        </w:rPr>
        <w:t>.202</w:t>
      </w:r>
      <w:r>
        <w:rPr>
          <w:rFonts w:eastAsia="Times New Roman" w:cs="Times New Roman" w:ascii="Times New Roman" w:hAnsi="Times New Roman"/>
          <w:kern w:val="0"/>
          <w:sz w:val="24"/>
          <w:szCs w:val="24"/>
          <w:lang w:eastAsia="pl-PL" w:bidi="ar-SA"/>
        </w:rPr>
        <w:t>5</w:t>
      </w:r>
      <w:r>
        <w:rPr>
          <w:rFonts w:eastAsia="Times New Roman" w:cs="Times New Roman" w:ascii="Times New Roman" w:hAnsi="Times New Roman"/>
          <w:kern w:val="0"/>
          <w:sz w:val="24"/>
          <w:szCs w:val="24"/>
          <w:lang w:eastAsia="pl-PL" w:bidi="ar-SA"/>
        </w:rPr>
        <w:t xml:space="preserve"> r.</w:t>
      </w:r>
    </w:p>
    <w:p>
      <w:pPr>
        <w:pStyle w:val="Normal"/>
        <w:widowControl/>
        <w:shd w:val="clear" w:color="auto" w:fill="FFFFFF"/>
        <w:suppressAutoHyphens w:val="false"/>
        <w:spacing w:lineRule="auto" w:line="276"/>
        <w:jc w:val="center"/>
        <w:rPr>
          <w:rFonts w:eastAsia="Times New Roman" w:cs="Times New Roman"/>
          <w:b/>
          <w:b/>
          <w:bCs/>
          <w:color w:val="333333"/>
          <w:kern w:val="0"/>
          <w:lang w:eastAsia="pl-PL" w:bidi="ar-SA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widowControl/>
        <w:shd w:val="clear" w:color="auto" w:fill="FFFFFF"/>
        <w:suppressAutoHyphens w:val="false"/>
        <w:spacing w:lineRule="auto" w:line="276"/>
        <w:jc w:val="center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b/>
          <w:bCs/>
          <w:color w:val="333333"/>
          <w:kern w:val="0"/>
          <w:sz w:val="24"/>
          <w:szCs w:val="24"/>
          <w:lang w:eastAsia="pl-PL" w:bidi="ar-SA"/>
        </w:rPr>
        <w:t>zawiadamia strony postępowania</w:t>
      </w:r>
    </w:p>
    <w:p>
      <w:pPr>
        <w:pStyle w:val="Normal"/>
        <w:widowControl/>
        <w:shd w:val="clear" w:color="auto" w:fill="FFFFFF"/>
        <w:suppressAutoHyphens w:val="false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color w:val="333333"/>
          <w:kern w:val="0"/>
          <w:sz w:val="24"/>
          <w:szCs w:val="24"/>
          <w:lang w:eastAsia="pl-PL" w:bidi="ar-SA"/>
        </w:rPr>
        <w:t>że na wniosek inwestora</w:t>
      </w:r>
      <w:r>
        <w:rPr>
          <w:rFonts w:eastAsia="Times New Roman" w:cs="Times New Roman" w:ascii="Times New Roman" w:hAnsi="Times New Roman"/>
          <w:b/>
          <w:bCs/>
          <w:color w:val="333333"/>
          <w:kern w:val="0"/>
          <w:sz w:val="24"/>
          <w:szCs w:val="24"/>
          <w:lang w:eastAsia="pl-PL" w:bidi="ar-SA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 w:themeColor="text1"/>
          <w:kern w:val="0"/>
          <w:sz w:val="24"/>
          <w:szCs w:val="24"/>
          <w:lang w:eastAsia="pl-PL" w:bidi="ar-SA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 w:themeColor="text1"/>
          <w:kern w:val="0"/>
          <w:sz w:val="24"/>
          <w:szCs w:val="24"/>
          <w:lang w:eastAsia="pl-PL" w:bidi="ar-SA"/>
        </w:rPr>
        <w:t>Miltraco</w:t>
      </w:r>
      <w:r>
        <w:rPr>
          <w:rFonts w:eastAsia="Times New Roman" w:cs="Times New Roman" w:ascii="Times New Roman" w:hAnsi="Times New Roman"/>
          <w:b/>
          <w:bCs/>
          <w:color w:val="000000" w:themeColor="text1"/>
          <w:kern w:val="0"/>
          <w:sz w:val="24"/>
          <w:szCs w:val="24"/>
          <w:lang w:eastAsia="pl-PL" w:bidi="ar-SA"/>
        </w:rPr>
        <w:t xml:space="preserve"> Sp. z o.o., ul. </w:t>
      </w:r>
      <w:r>
        <w:rPr>
          <w:rFonts w:eastAsia="Times New Roman" w:cs="Times New Roman" w:ascii="Times New Roman" w:hAnsi="Times New Roman"/>
          <w:b/>
          <w:bCs/>
          <w:color w:val="000000" w:themeColor="text1"/>
          <w:kern w:val="0"/>
          <w:sz w:val="24"/>
          <w:szCs w:val="24"/>
          <w:lang w:eastAsia="pl-PL" w:bidi="ar-SA"/>
        </w:rPr>
        <w:t>G. Garibaldiego 4 lok. 18 C</w:t>
      </w:r>
      <w:r>
        <w:rPr>
          <w:rFonts w:eastAsia="Times New Roman" w:cs="Times New Roman" w:ascii="Times New Roman" w:hAnsi="Times New Roman"/>
          <w:b/>
          <w:bCs/>
          <w:color w:val="000000" w:themeColor="text1"/>
          <w:kern w:val="0"/>
          <w:sz w:val="24"/>
          <w:szCs w:val="24"/>
          <w:lang w:eastAsia="pl-PL" w:bidi="ar-SA"/>
        </w:rPr>
        <w:t xml:space="preserve">, </w:t>
      </w:r>
      <w:r>
        <w:rPr>
          <w:rFonts w:eastAsia="Times New Roman" w:cs="Times New Roman" w:ascii="Times New Roman" w:hAnsi="Times New Roman"/>
          <w:b/>
          <w:bCs/>
          <w:color w:val="000000" w:themeColor="text1"/>
          <w:kern w:val="0"/>
          <w:sz w:val="24"/>
          <w:szCs w:val="24"/>
          <w:lang w:eastAsia="pl-PL" w:bidi="ar-SA"/>
        </w:rPr>
        <w:t>04</w:t>
      </w:r>
      <w:r>
        <w:rPr>
          <w:rFonts w:eastAsia="Times New Roman" w:cs="Times New Roman" w:ascii="Times New Roman" w:hAnsi="Times New Roman"/>
          <w:b/>
          <w:bCs/>
          <w:color w:val="000000" w:themeColor="text1"/>
          <w:kern w:val="0"/>
          <w:sz w:val="24"/>
          <w:szCs w:val="24"/>
          <w:lang w:eastAsia="pl-PL" w:bidi="ar-SA"/>
        </w:rPr>
        <w:t>-</w:t>
      </w:r>
      <w:r>
        <w:rPr>
          <w:rFonts w:eastAsia="Times New Roman" w:cs="Times New Roman" w:ascii="Times New Roman" w:hAnsi="Times New Roman"/>
          <w:b/>
          <w:bCs/>
          <w:color w:val="000000" w:themeColor="text1"/>
          <w:kern w:val="0"/>
          <w:sz w:val="24"/>
          <w:szCs w:val="24"/>
          <w:lang w:eastAsia="pl-PL" w:bidi="ar-SA"/>
        </w:rPr>
        <w:t>078</w:t>
      </w:r>
      <w:r>
        <w:rPr>
          <w:rFonts w:eastAsia="Times New Roman" w:cs="Times New Roman" w:ascii="Times New Roman" w:hAnsi="Times New Roman"/>
          <w:b/>
          <w:bCs/>
          <w:color w:val="000000" w:themeColor="text1"/>
          <w:kern w:val="0"/>
          <w:sz w:val="24"/>
          <w:szCs w:val="24"/>
          <w:lang w:eastAsia="pl-PL" w:bidi="ar-SA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 w:themeColor="text1"/>
          <w:kern w:val="0"/>
          <w:sz w:val="24"/>
          <w:szCs w:val="24"/>
          <w:lang w:eastAsia="pl-PL" w:bidi="ar-SA"/>
        </w:rPr>
        <w:t xml:space="preserve">Warszawa </w:t>
      </w:r>
      <w:r>
        <w:rPr>
          <w:rFonts w:eastAsia="Times New Roman" w:cs="Times New Roman" w:ascii="Times New Roman" w:hAnsi="Times New Roman"/>
          <w:color w:val="333333"/>
          <w:kern w:val="0"/>
          <w:sz w:val="24"/>
          <w:szCs w:val="24"/>
          <w:lang w:eastAsia="pl-PL" w:bidi="ar-SA"/>
        </w:rPr>
        <w:t xml:space="preserve">zostało wszczęte postępowanie w sprawie wydania decyzji o środowiskowych uwarunkowaniach dla przedsięwzięcia polegającego na </w:t>
      </w:r>
      <w:r>
        <w:rPr>
          <w:rFonts w:eastAsia="Times New Roman" w:cs="Times New Roman" w:ascii="Times New Roman" w:hAnsi="Times New Roman"/>
          <w:b/>
          <w:color w:val="000000" w:themeColor="text1"/>
          <w:kern w:val="0"/>
          <w:sz w:val="24"/>
          <w:szCs w:val="24"/>
          <w:lang w:eastAsia="pl-PL" w:bidi="ar-SA"/>
        </w:rPr>
        <w:t xml:space="preserve"> </w:t>
      </w:r>
      <w:r>
        <w:rPr>
          <w:rFonts w:eastAsia="Times New Roman" w:cs="Times New Roman" w:ascii="Times New Roman" w:hAnsi="Times New Roman"/>
          <w:b/>
          <w:bCs/>
          <w:color w:val="000000" w:themeColor="text1"/>
          <w:kern w:val="0"/>
          <w:sz w:val="24"/>
          <w:szCs w:val="24"/>
          <w:lang w:eastAsia="pl-PL" w:bidi="ar-SA"/>
        </w:rPr>
        <w:t>„</w:t>
      </w:r>
      <w:r>
        <w:rPr>
          <w:rFonts w:eastAsia="Times New Roman" w:cs="Times New Roman" w:ascii="Times New Roman" w:hAnsi="Times New Roman"/>
          <w:b/>
          <w:bCs/>
          <w:color w:val="333333"/>
          <w:kern w:val="0"/>
          <w:sz w:val="24"/>
          <w:szCs w:val="24"/>
          <w:lang w:eastAsia="pl-PL" w:bidi="ar-SA"/>
        </w:rPr>
        <w:t>Budowie hali produkcyjnej (produkcja amunicji) wraz z częścią socjalnobiurową oraz budynku magazynu na proch, infrastruktury technicznej i parkingów na terenie działki nr ewidencyjny 1464/84 obręb 0001 Pionki położonej w m. Pionki gmina Pionki, powiat Radomski, woj. mazowieckie</w:t>
      </w:r>
      <w:r>
        <w:rPr>
          <w:rFonts w:eastAsia="Times New Roman" w:cs="Times New Roman" w:ascii="Times New Roman" w:hAnsi="Times New Roman"/>
          <w:b/>
          <w:color w:val="000000" w:themeColor="text1"/>
          <w:kern w:val="0"/>
          <w:sz w:val="24"/>
          <w:szCs w:val="24"/>
          <w:lang w:eastAsia="pl-PL" w:bidi="ar-SA"/>
        </w:rPr>
        <w:t>”</w:t>
      </w:r>
      <w:r>
        <w:rPr>
          <w:rFonts w:eastAsia="Times New Roman" w:cs="Times New Roman" w:ascii="Times New Roman" w:hAnsi="Times New Roman"/>
          <w:bCs/>
          <w:color w:val="333333"/>
          <w:kern w:val="0"/>
          <w:sz w:val="24"/>
          <w:szCs w:val="24"/>
          <w:lang w:eastAsia="pl-PL" w:bidi="ar-SA"/>
        </w:rPr>
        <w:t xml:space="preserve">  </w:t>
      </w:r>
    </w:p>
    <w:p>
      <w:pPr>
        <w:pStyle w:val="Normal"/>
        <w:widowControl/>
        <w:shd w:val="clear" w:color="auto" w:fill="FFFFFF"/>
        <w:suppressAutoHyphens w:val="false"/>
        <w:spacing w:lineRule="auto" w:line="276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color w:val="333333"/>
          <w:kern w:val="0"/>
          <w:sz w:val="24"/>
          <w:szCs w:val="24"/>
          <w:lang w:eastAsia="pl-PL" w:bidi="ar-SA"/>
        </w:rPr>
        <w:t xml:space="preserve">Zgodnie z art. 64 ust. 1 ustawy o udostępnianiu informacji, decyzję o środowiskowych uwarunkowaniach realizacji przedsięwzięcia w niniejszej sprawie wydaję się po uzyskaniu opinii Regionalnego Dyrektora Ochrony Środowiska, Powiatowego Inspektora Sanitarnego, </w:t>
      </w:r>
      <w:r>
        <w:rPr>
          <w:rFonts w:ascii="Times New Roman" w:hAnsi="Times New Roman"/>
          <w:sz w:val="24"/>
          <w:szCs w:val="24"/>
        </w:rPr>
        <w:t>Dyrektora Zarządu Zlewni w Radomiu.</w:t>
      </w:r>
    </w:p>
    <w:p>
      <w:pPr>
        <w:pStyle w:val="Normal"/>
        <w:widowControl/>
        <w:shd w:val="clear" w:color="auto" w:fill="FFFFFF"/>
        <w:suppressAutoHyphens w:val="false"/>
        <w:spacing w:lineRule="auto" w:line="276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color w:val="333333"/>
          <w:kern w:val="0"/>
          <w:sz w:val="24"/>
          <w:szCs w:val="24"/>
          <w:lang w:eastAsia="pl-PL" w:bidi="ar-SA"/>
        </w:rPr>
        <w:t xml:space="preserve">Ponieważ w niniejszej sprawie liczba stron przekracza 10 zgodnie z art. 74 ust. 3 ustawy </w:t>
        <w:br/>
        <w:t xml:space="preserve">o udostępnianiu informacji oraz art. 49 k.p.a – niniejsze zawiadomienie zostaje podane stronom do wiadomości poprzez zamieszczenie w publicznie dostępnym wykazie danych na stronie Biuletynu Informacji Publicznej </w:t>
      </w:r>
      <w:r>
        <w:rPr>
          <w:rFonts w:eastAsia="Arial" w:cs="Times New Roman" w:ascii="Times New Roman" w:hAnsi="Times New Roman"/>
          <w:color w:val="000000"/>
          <w:sz w:val="24"/>
          <w:szCs w:val="24"/>
        </w:rPr>
        <w:t xml:space="preserve">Urzędu Miasta Pionki </w:t>
      </w:r>
      <w:r>
        <w:rPr>
          <w:rFonts w:eastAsia="Arial" w:cs="Times New Roman" w:ascii="Times New Roman" w:hAnsi="Times New Roman"/>
          <w:color w:val="0000FF"/>
          <w:sz w:val="24"/>
          <w:szCs w:val="24"/>
          <w:u w:val="single"/>
        </w:rPr>
        <w:t>www.bip.pionki.pl</w:t>
      </w:r>
      <w:r>
        <w:rPr>
          <w:rFonts w:eastAsia="Arial" w:cs="Times New Roman" w:ascii="Times New Roman" w:hAnsi="Times New Roman"/>
          <w:color w:val="0000FF"/>
          <w:sz w:val="24"/>
          <w:szCs w:val="24"/>
        </w:rPr>
        <w:t xml:space="preserve"> </w:t>
      </w:r>
      <w:r>
        <w:rPr>
          <w:rFonts w:eastAsia="Arial" w:cs="Times New Roman" w:ascii="Times New Roman" w:hAnsi="Times New Roman"/>
          <w:color w:val="000000"/>
          <w:sz w:val="24"/>
          <w:szCs w:val="24"/>
        </w:rPr>
        <w:t>w dziale ogłoszenia – informacje środowiskowe oraz wywieszenie na tablicy ogłoszeń Urzędu Miasta Pionki, Aleja Jana Pawła II 15.</w:t>
      </w:r>
    </w:p>
    <w:p>
      <w:pPr>
        <w:pStyle w:val="NormalWeb"/>
        <w:spacing w:lineRule="auto" w:line="276" w:before="280" w:after="2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Zgodnie z art. 49 K.p.a. niniejsze obwieszczenie uznaje się za dokonane po upływie 14 dni od dnia publicznego ogłoszenia.</w:t>
      </w:r>
    </w:p>
    <w:p>
      <w:pPr>
        <w:pStyle w:val="NormalWeb"/>
        <w:spacing w:lineRule="auto" w:line="276" w:beforeAutospacing="0" w:before="0" w:afterAutospacing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eastAsia="Arial" w:ascii="Times New Roman" w:hAnsi="Times New Roman"/>
          <w:color w:val="000000"/>
          <w:sz w:val="24"/>
          <w:szCs w:val="24"/>
          <w:u w:val="single"/>
        </w:rPr>
        <w:t>Otrzymują:</w:t>
      </w:r>
    </w:p>
    <w:p>
      <w:pPr>
        <w:pStyle w:val="Normal"/>
        <w:spacing w:lineRule="auto" w:line="276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Strony postępowania poprzez obwieszczenie.</w:t>
      </w:r>
    </w:p>
    <w:p>
      <w:pPr>
        <w:pStyle w:val="Normal"/>
        <w:spacing w:lineRule="auto" w:line="276" w:before="0" w:after="1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A/a.</w:t>
      </w:r>
    </w:p>
    <w:sectPr>
      <w:headerReference w:type="default" r:id="rId2"/>
      <w:footerReference w:type="default" r:id="rId3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"/>
      <w:jc w:val="right"/>
      <w:rPr/>
    </w:pPr>
    <w:r>
      <w:rPr>
        <w:color w:val="008000"/>
      </w:rPr>
      <w:t xml:space="preserve">Strona </w:t>
    </w:r>
    <w:r>
      <w:rPr>
        <w:b/>
        <w:bCs/>
        <w:color w:val="008000"/>
        <w:sz w:val="24"/>
        <w:szCs w:val="24"/>
      </w:rPr>
      <w:fldChar w:fldCharType="begin"/>
    </w:r>
    <w:r>
      <w:rPr>
        <w:sz w:val="24"/>
        <w:b/>
        <w:szCs w:val="24"/>
        <w:bCs/>
        <w:color w:val="008000"/>
      </w:rPr>
      <w:instrText xml:space="preserve"> PAGE </w:instrText>
    </w:r>
    <w:r>
      <w:rPr>
        <w:sz w:val="24"/>
        <w:b/>
        <w:szCs w:val="24"/>
        <w:bCs/>
        <w:color w:val="008000"/>
      </w:rPr>
      <w:fldChar w:fldCharType="separate"/>
    </w:r>
    <w:r>
      <w:rPr>
        <w:sz w:val="24"/>
        <w:b/>
        <w:szCs w:val="24"/>
        <w:bCs/>
        <w:color w:val="008000"/>
      </w:rPr>
      <w:t>1</w:t>
    </w:r>
    <w:r>
      <w:rPr>
        <w:sz w:val="24"/>
        <w:b/>
        <w:szCs w:val="24"/>
        <w:bCs/>
        <w:color w:val="008000"/>
      </w:rPr>
      <w:fldChar w:fldCharType="end"/>
    </w:r>
    <w:r>
      <w:rPr>
        <w:color w:val="008000"/>
      </w:rPr>
      <w:t xml:space="preserve"> z </w:t>
    </w:r>
    <w:r>
      <w:rPr>
        <w:b/>
        <w:bCs/>
        <w:color w:val="008000"/>
        <w:sz w:val="24"/>
        <w:szCs w:val="24"/>
      </w:rPr>
      <w:fldChar w:fldCharType="begin"/>
    </w:r>
    <w:r>
      <w:rPr>
        <w:sz w:val="24"/>
        <w:b/>
        <w:szCs w:val="24"/>
        <w:bCs/>
        <w:color w:val="008000"/>
      </w:rPr>
      <w:instrText xml:space="preserve"> NUMPAGES </w:instrText>
    </w:r>
    <w:r>
      <w:rPr>
        <w:sz w:val="24"/>
        <w:b/>
        <w:szCs w:val="24"/>
        <w:bCs/>
        <w:color w:val="008000"/>
      </w:rPr>
      <w:fldChar w:fldCharType="separate"/>
    </w:r>
    <w:r>
      <w:rPr>
        <w:sz w:val="24"/>
        <w:b/>
        <w:szCs w:val="24"/>
        <w:bCs/>
        <w:color w:val="008000"/>
      </w:rPr>
      <w:t>1</w:t>
    </w:r>
    <w:r>
      <w:rPr>
        <w:sz w:val="24"/>
        <w:b/>
        <w:szCs w:val="24"/>
        <w:bCs/>
        <w:color w:val="008000"/>
      </w:rPr>
      <w:fldChar w:fldCharType="end"/>
    </w:r>
  </w:p>
  <w:p>
    <w:pPr>
      <w:pStyle w:val="Stopk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jc w:val="center"/>
      <w:rPr/>
    </w:pPr>
    <w:r>
      <w:rPr/>
      <w:drawing>
        <wp:inline distT="0" distB="0" distL="0" distR="0">
          <wp:extent cx="5441315" cy="754380"/>
          <wp:effectExtent l="0" t="0" r="0" b="0"/>
          <wp:docPr id="1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41315" cy="7543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sz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sz w:val="24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sz w:val="24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78"/>
  <w:defaultTabStop w:val="708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kern w:val="2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59" w:before="0" w:after="160"/>
      <w:jc w:val="left"/>
    </w:pPr>
    <w:rPr>
      <w:rFonts w:ascii="Calibri" w:hAnsi="Calibri" w:eastAsia="Calibri" w:cs="Tahoma"/>
      <w:color w:val="auto"/>
      <w:kern w:val="2"/>
      <w:sz w:val="22"/>
      <w:szCs w:val="22"/>
      <w:lang w:val="pl-PL" w:eastAsia="en-US" w:bidi="ar-SA"/>
    </w:rPr>
  </w:style>
  <w:style w:type="paragraph" w:styleId="Nagwek1">
    <w:name w:val="Heading 1"/>
    <w:basedOn w:val="Normal"/>
    <w:next w:val="Normal"/>
    <w:qFormat/>
    <w:pPr>
      <w:keepNext w:val="true"/>
      <w:numPr>
        <w:ilvl w:val="0"/>
        <w:numId w:val="1"/>
      </w:numPr>
      <w:jc w:val="both"/>
      <w:outlineLvl w:val="0"/>
    </w:pPr>
    <w:rPr>
      <w:rFonts w:cs="Arial"/>
      <w:b/>
      <w:bCs/>
      <w:sz w:val="20"/>
    </w:rPr>
  </w:style>
  <w:style w:type="paragraph" w:styleId="Nagwek3">
    <w:name w:val="Heading 3"/>
    <w:basedOn w:val="Normal"/>
    <w:next w:val="Normal"/>
    <w:qFormat/>
    <w:pPr>
      <w:keepNext w:val="true"/>
      <w:numPr>
        <w:ilvl w:val="2"/>
        <w:numId w:val="1"/>
      </w:numPr>
      <w:outlineLvl w:val="2"/>
    </w:pPr>
    <w:rPr>
      <w:sz w:val="20"/>
    </w:rPr>
  </w:style>
  <w:style w:type="paragraph" w:styleId="Nagwek4">
    <w:name w:val="Heading 4"/>
    <w:basedOn w:val="Normal"/>
    <w:next w:val="Normal"/>
    <w:qFormat/>
    <w:pPr>
      <w:keepNext w:val="true"/>
      <w:numPr>
        <w:ilvl w:val="3"/>
        <w:numId w:val="1"/>
      </w:numPr>
      <w:spacing w:before="120" w:after="60"/>
      <w:jc w:val="center"/>
      <w:outlineLvl w:val="3"/>
    </w:pPr>
    <w:rPr>
      <w:rFonts w:ascii="Times New Roman" w:hAnsi="Times New Roman" w:cs="Times New Roman"/>
      <w:b/>
      <w:i/>
      <w:caps/>
      <w:spacing w:val="100"/>
      <w:kern w:val="2"/>
      <w:sz w:val="24"/>
    </w:rPr>
  </w:style>
  <w:style w:type="character" w:styleId="DefaultParagraphFont">
    <w:name w:val="Default Paragraph Font"/>
    <w:qFormat/>
    <w:rPr/>
  </w:style>
  <w:style w:type="character" w:styleId="NagwekZnak">
    <w:name w:val="Nagłówek Znak"/>
    <w:basedOn w:val="DefaultParagraphFont"/>
    <w:qFormat/>
    <w:rPr/>
  </w:style>
  <w:style w:type="character" w:styleId="StopkaZnak">
    <w:name w:val="Stopka Znak"/>
    <w:basedOn w:val="DefaultParagraphFont"/>
    <w:qFormat/>
    <w:rPr/>
  </w:style>
  <w:style w:type="character" w:styleId="Znakinumeracji">
    <w:name w:val="Znaki numeracji"/>
    <w:qFormat/>
    <w:rPr/>
  </w:style>
  <w:style w:type="character" w:styleId="Mocnewyrnione">
    <w:name w:val="Mocne wyróżnione"/>
    <w:qFormat/>
    <w:rPr>
      <w:b/>
      <w:bCs/>
    </w:rPr>
  </w:style>
  <w:style w:type="character" w:styleId="Czeinternetowe">
    <w:name w:val="Łącze internetowe"/>
    <w:rPr>
      <w:color w:val="0000FF"/>
      <w:u w:val="single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link w:val="NagwekZnak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">
    <w:name w:val="Footer"/>
    <w:basedOn w:val="Normal"/>
    <w:link w:val="StopkaZnak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odyTextIndent2">
    <w:name w:val="Body Text Indent 2"/>
    <w:basedOn w:val="Normal"/>
    <w:qFormat/>
    <w:pPr>
      <w:spacing w:before="0" w:after="120"/>
      <w:ind w:left="0" w:right="0" w:firstLine="709"/>
      <w:jc w:val="both"/>
    </w:pPr>
    <w:rPr>
      <w:rFonts w:ascii="Times New Roman" w:hAnsi="Times New Roman" w:cs="Times New Roman"/>
      <w:kern w:val="2"/>
      <w:sz w:val="24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Standard">
    <w:name w:val="Standard"/>
    <w:qFormat/>
    <w:pPr>
      <w:widowControl w:val="false"/>
      <w:suppressAutoHyphens w:val="true"/>
      <w:overflowPunct w:val="true"/>
      <w:bidi w:val="0"/>
      <w:spacing w:before="0" w:after="0"/>
      <w:jc w:val="left"/>
      <w:textAlignment w:val="baseline"/>
    </w:pPr>
    <w:rPr>
      <w:rFonts w:ascii="Liberation Serif;Times New Roman" w:hAnsi="Liberation Serif;Times New Roman" w:eastAsia="Arial Unicode MS" w:cs="Mangal"/>
      <w:color w:val="auto"/>
      <w:kern w:val="2"/>
      <w:sz w:val="24"/>
      <w:szCs w:val="24"/>
      <w:lang w:val="pl-PL" w:eastAsia="zh-CN" w:bidi="hi-IN"/>
    </w:rPr>
  </w:style>
  <w:style w:type="paragraph" w:styleId="Tekstpodstawowy21">
    <w:name w:val="Tekst podstawowy 21"/>
    <w:basedOn w:val="Normal"/>
    <w:qFormat/>
    <w:pPr>
      <w:jc w:val="both"/>
    </w:pPr>
    <w:rPr>
      <w:rFonts w:cs="Arial"/>
      <w:sz w:val="20"/>
    </w:rPr>
  </w:style>
  <w:style w:type="paragraph" w:styleId="NormalWeb">
    <w:name w:val="Normal (Web)"/>
    <w:basedOn w:val="Normal"/>
    <w:qFormat/>
    <w:pPr>
      <w:widowControl/>
      <w:suppressAutoHyphens w:val="false"/>
      <w:spacing w:beforeAutospacing="1" w:afterAutospacing="1"/>
    </w:pPr>
    <w:rPr>
      <w:rFonts w:eastAsia="Times New Roman" w:cs="Times New Roman"/>
      <w:kern w:val="0"/>
      <w:lang w:eastAsia="pl-PL" w:bidi="ar-SA"/>
    </w:rPr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339</TotalTime>
  <Application>LibreOffice/7.3.2.2$Windows_X86_64 LibreOffice_project/49f2b1bff42cfccbd8f788c8dc32c1c309559be0</Application>
  <AppVersion>15.0000</AppVersion>
  <Pages>1</Pages>
  <Words>301</Words>
  <Characters>1725</Characters>
  <CharactersWithSpaces>2140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2024-07-11T18:06:00Z</dcterms:created>
  <dc:creator>Magnetyczne teksty</dc:creator>
  <dc:description/>
  <dc:language>pl-PL</dc:language>
  <cp:lastModifiedBy/>
  <cp:lastPrinted>2025-01-15T13:24:00Z</cp:lastPrinted>
  <dcterms:modified xsi:type="dcterms:W3CDTF">2025-01-15T15:11:45Z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