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/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b/>
          <w:bCs/>
          <w:sz w:val="18"/>
          <w:szCs w:val="18"/>
        </w:rPr>
        <w:tab/>
        <w:tab/>
        <w:tab/>
        <w:tab/>
        <w:tab/>
        <w:tab/>
        <w:tab/>
        <w:tab/>
        <w:tab/>
        <w:tab/>
        <w:t>ZAŁĄCZNIK Nr 1</w:t>
      </w:r>
    </w:p>
    <w:p>
      <w:pPr>
        <w:pStyle w:val="Normal"/>
        <w:rPr>
          <w:rFonts w:ascii="Times New Roman" w:hAnsi="Times New Roman"/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rFonts w:ascii="Times New Roman" w:hAnsi="Times New Roman"/>
          <w:sz w:val="18"/>
          <w:szCs w:val="18"/>
        </w:rPr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  <w:tab/>
        <w:tab/>
        <w:tab/>
        <w:tab/>
        <w:tab/>
        <w:tab/>
        <w:tab/>
        <w:tab/>
        <w:tab/>
      </w:r>
      <w:r>
        <w:rPr>
          <w:b/>
          <w:bCs/>
          <w:sz w:val="18"/>
          <w:szCs w:val="18"/>
        </w:rPr>
        <w:t xml:space="preserve">do Zarządzenia Nr 80A/2024 </w:t>
        <w:tab/>
        <w:tab/>
        <w:tab/>
        <w:tab/>
        <w:tab/>
        <w:tab/>
        <w:tab/>
        <w:tab/>
        <w:tab/>
        <w:tab/>
        <w:t xml:space="preserve">Burmistrza Miasta Pionki </w:t>
      </w:r>
    </w:p>
    <w:p>
      <w:pPr>
        <w:pStyle w:val="Normal"/>
        <w:rPr>
          <w:rFonts w:ascii="Times New Roman" w:hAnsi="Times New Roman"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  <w:tab/>
        <w:tab/>
        <w:tab/>
        <w:tab/>
        <w:tab/>
        <w:tab/>
        <w:tab/>
        <w:tab/>
        <w:tab/>
        <w:t xml:space="preserve">z dnia 27 maja 2024 r. </w:t>
      </w:r>
    </w:p>
    <w:p>
      <w:pPr>
        <w:pStyle w:val="Standard"/>
        <w:spacing w:lineRule="auto" w:line="36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>
      <w:pPr>
        <w:pStyle w:val="Standard"/>
        <w:spacing w:lineRule="auto" w:line="360"/>
        <w:jc w:val="center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  <mc:AlternateContent>
          <mc:Choice Requires="wps">
            <w:drawing>
              <wp:anchor behindDoc="1" distT="6350" distB="6350" distL="6350" distR="6350" simplePos="0" locked="0" layoutInCell="1" allowOverlap="1" relativeHeight="2">
                <wp:simplePos x="0" y="0"/>
                <wp:positionH relativeFrom="column">
                  <wp:posOffset>32385</wp:posOffset>
                </wp:positionH>
                <wp:positionV relativeFrom="paragraph">
                  <wp:posOffset>236220</wp:posOffset>
                </wp:positionV>
                <wp:extent cx="6019800" cy="2895600"/>
                <wp:effectExtent l="6350" t="6350" r="6350" b="6350"/>
                <wp:wrapNone/>
                <wp:docPr id="1" name="Prostokąt: zaokrąglone rogi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920" cy="2895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d966">
                            <a:alpha val="60000"/>
                          </a:srgbClr>
                        </a:solidFill>
                        <a:ln w="12600">
                          <a:solidFill>
                            <a:srgbClr val="1d3155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Standard"/>
        <w:spacing w:lineRule="auto" w:line="360"/>
        <w:jc w:val="center"/>
        <w:rPr/>
      </w:pPr>
      <w:r>
        <w:rPr/>
      </w:r>
    </w:p>
    <w:p>
      <w:pPr>
        <w:pStyle w:val="Standard"/>
        <w:spacing w:lineRule="auto" w:line="360"/>
        <w:jc w:val="center"/>
        <w:rPr>
          <w:sz w:val="36"/>
          <w:szCs w:val="36"/>
          <w:u w:val="single"/>
        </w:rPr>
      </w:pPr>
      <w:r>
        <w:rPr>
          <w:rFonts w:cs="Times New Roman"/>
          <w:b/>
          <w:bCs/>
          <w:sz w:val="40"/>
          <w:szCs w:val="40"/>
          <w:u w:val="single"/>
        </w:rPr>
        <w:t>SPRAWOZDANIE</w:t>
      </w:r>
    </w:p>
    <w:p>
      <w:pPr>
        <w:pStyle w:val="Standard"/>
        <w:spacing w:lineRule="auto" w:line="36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Z REALIZACJI </w:t>
      </w:r>
    </w:p>
    <w:p>
      <w:pPr>
        <w:pStyle w:val="Standard"/>
        <w:spacing w:lineRule="auto" w:line="36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PROGRAMU WSPÓŁPRACY GMINY MIASTA PIONKI </w:t>
      </w:r>
    </w:p>
    <w:p>
      <w:pPr>
        <w:pStyle w:val="Standard"/>
        <w:spacing w:lineRule="auto" w:line="360"/>
        <w:jc w:val="center"/>
        <w:rPr>
          <w:sz w:val="36"/>
          <w:szCs w:val="36"/>
          <w:u w:val="single"/>
        </w:rPr>
      </w:pPr>
      <w:r>
        <w:rPr>
          <w:rFonts w:cs="Times New Roman"/>
          <w:b/>
          <w:bCs/>
          <w:sz w:val="28"/>
          <w:szCs w:val="28"/>
        </w:rPr>
        <w:t>Z ORGANIZACJAMI POZARZĄDOWYMI</w:t>
      </w:r>
    </w:p>
    <w:p>
      <w:pPr>
        <w:pStyle w:val="Standard"/>
        <w:spacing w:lineRule="auto" w:line="36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ORAZ PODMIOTAMI PROWADZĄCYMI </w:t>
      </w:r>
    </w:p>
    <w:p>
      <w:pPr>
        <w:pStyle w:val="Standard"/>
        <w:spacing w:lineRule="auto" w:line="36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DZIAŁALNOŚĆ POŻYTKU PUBLICZNEGO </w:t>
      </w:r>
    </w:p>
    <w:p>
      <w:pPr>
        <w:pStyle w:val="Standard"/>
        <w:spacing w:lineRule="auto" w:line="36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ZA ROK 2023</w:t>
      </w:r>
    </w:p>
    <w:p>
      <w:pPr>
        <w:pStyle w:val="Standard"/>
        <w:spacing w:lineRule="auto" w:line="360"/>
        <w:rPr/>
      </w:pPr>
      <w:r>
        <w:rPr/>
      </w:r>
    </w:p>
    <w:p>
      <w:pPr>
        <w:pStyle w:val="Standard"/>
        <w:spacing w:lineRule="auto" w:line="360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</w:r>
    </w:p>
    <w:p>
      <w:pPr>
        <w:pStyle w:val="Standard"/>
        <w:spacing w:lineRule="auto" w:line="360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</w:r>
    </w:p>
    <w:p>
      <w:pPr>
        <w:pStyle w:val="Standard"/>
        <w:spacing w:lineRule="auto" w:line="360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</w:r>
    </w:p>
    <w:p>
      <w:pPr>
        <w:pStyle w:val="Standard"/>
        <w:spacing w:lineRule="auto" w:line="360"/>
        <w:jc w:val="center"/>
        <w:rPr>
          <w:rFonts w:cs="Times New Roman"/>
        </w:rPr>
      </w:pPr>
      <w:r>
        <w:rPr>
          <w:rFonts w:cs="Times New Roman"/>
        </w:rPr>
      </w:r>
    </w:p>
    <w:p>
      <w:pPr>
        <w:pStyle w:val="Standard"/>
        <w:spacing w:lineRule="auto" w:line="360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  <w:drawing>
          <wp:anchor behindDoc="0" distT="0" distB="0" distL="114300" distR="114300" simplePos="0" locked="0" layoutInCell="0" allowOverlap="1" relativeHeight="3">
            <wp:simplePos x="0" y="0"/>
            <wp:positionH relativeFrom="page">
              <wp:posOffset>2774950</wp:posOffset>
            </wp:positionH>
            <wp:positionV relativeFrom="page">
              <wp:posOffset>5430520</wp:posOffset>
            </wp:positionV>
            <wp:extent cx="2121535" cy="2697480"/>
            <wp:effectExtent l="0" t="0" r="0" b="0"/>
            <wp:wrapSquare wrapText="bothSides"/>
            <wp:docPr id="2" name="Obraz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andard"/>
        <w:spacing w:lineRule="auto" w:line="360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</w:r>
    </w:p>
    <w:p>
      <w:pPr>
        <w:pStyle w:val="Standard"/>
        <w:spacing w:lineRule="auto" w:line="360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</w:r>
    </w:p>
    <w:p>
      <w:pPr>
        <w:pStyle w:val="Standard"/>
        <w:spacing w:lineRule="auto" w:line="360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</w:r>
    </w:p>
    <w:p>
      <w:pPr>
        <w:pStyle w:val="Standard"/>
        <w:spacing w:lineRule="auto" w:line="360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</w:r>
    </w:p>
    <w:p>
      <w:pPr>
        <w:pStyle w:val="Standard"/>
        <w:spacing w:lineRule="auto" w:line="360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</w:r>
    </w:p>
    <w:p>
      <w:pPr>
        <w:pStyle w:val="Standard"/>
        <w:spacing w:lineRule="auto" w:line="360"/>
        <w:rPr>
          <w:rFonts w:cs="Times New Roman"/>
          <w:b/>
          <w:bCs/>
          <w:sz w:val="30"/>
          <w:szCs w:val="30"/>
        </w:rPr>
      </w:pPr>
      <w:r>
        <w:rPr>
          <w:rFonts w:cs="Times New Roman"/>
          <w:b/>
          <w:bCs/>
          <w:sz w:val="30"/>
          <w:szCs w:val="30"/>
        </w:rPr>
      </w:r>
    </w:p>
    <w:p>
      <w:pPr>
        <w:pStyle w:val="Standard"/>
        <w:spacing w:lineRule="auto" w:line="360"/>
        <w:jc w:val="center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</w:r>
    </w:p>
    <w:p>
      <w:pPr>
        <w:pStyle w:val="Standard"/>
        <w:spacing w:lineRule="auto" w:line="360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</w:r>
    </w:p>
    <w:p>
      <w:pPr>
        <w:pStyle w:val="Standard"/>
        <w:spacing w:lineRule="auto" w:line="360"/>
        <w:jc w:val="center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>____________________________</w:t>
      </w:r>
    </w:p>
    <w:p>
      <w:pPr>
        <w:pStyle w:val="Standard"/>
        <w:spacing w:lineRule="auto" w:line="360"/>
        <w:jc w:val="center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>MAJ 2024</w:t>
      </w:r>
    </w:p>
    <w:p>
      <w:pPr>
        <w:pStyle w:val="Normal"/>
        <w:suppressAutoHyphens w:val="false"/>
        <w:rPr/>
      </w:pPr>
      <w:r>
        <w:rPr/>
      </w:r>
    </w:p>
    <w:p>
      <w:pPr>
        <w:pStyle w:val="Standard"/>
        <w:spacing w:lineRule="auto" w:line="360"/>
        <w:jc w:val="center"/>
        <w:rPr/>
      </w:pPr>
      <w:r>
        <w:rPr/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Spis treści</w:t>
          </w:r>
        </w:p>
        <w:p>
          <w:pPr>
            <w:pStyle w:val="TOC1"/>
            <w:tabs>
              <w:tab w:val="clear" w:pos="660"/>
              <w:tab w:val="left" w:pos="440" w:leader="none"/>
              <w:tab w:val="right" w:pos="9628" w:leader="dot"/>
            </w:tabs>
            <w:rPr/>
          </w:pPr>
          <w:r>
            <w:fldChar w:fldCharType="begin"/>
          </w:r>
          <w:r>
            <w:rPr>
              <w:webHidden/>
              <w:rStyle w:val="Czeindeksu"/>
              <w:b/>
              <w:bCs/>
              <w:vanish w:val="false"/>
            </w:rPr>
            <w:instrText xml:space="preserve"> TOC \z \o "1-3" \u \h</w:instrText>
          </w:r>
          <w:r>
            <w:rPr>
              <w:webHidden/>
              <w:rStyle w:val="Czeindeksu"/>
              <w:b/>
              <w:bCs/>
              <w:vanish w:val="false"/>
            </w:rPr>
            <w:fldChar w:fldCharType="separate"/>
          </w:r>
          <w:hyperlink w:anchor="_Toc166491864">
            <w:r>
              <w:rPr>
                <w:webHidden/>
                <w:rStyle w:val="Czeindeksu"/>
                <w:b/>
                <w:bCs/>
                <w:vanish w:val="false"/>
              </w:rPr>
              <w:t>I.</w:t>
            </w:r>
            <w:r>
              <w:rPr>
                <w:rStyle w:val="Czeindeksu"/>
                <w:rFonts w:eastAsia="" w:cs="" w:cstheme="minorBidi" w:eastAsiaTheme="minorEastAsia"/>
                <w:sz w:val="22"/>
                <w:szCs w:val="22"/>
                <w:lang w:eastAsia="pl-PL" w:bidi="ar-SA"/>
              </w:rPr>
              <w:tab/>
            </w:r>
            <w:r>
              <w:rPr>
                <w:rStyle w:val="Czeindeksu"/>
                <w:b/>
                <w:bCs/>
              </w:rPr>
              <w:t>Wstęp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_Toc166491864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/>
          </w:pPr>
          <w:hyperlink w:anchor="_Toc166491865">
            <w:r>
              <w:rPr>
                <w:webHidden/>
                <w:rStyle w:val="Czeindeksu"/>
                <w:b/>
                <w:bCs/>
                <w:vanish w:val="false"/>
              </w:rPr>
              <w:t>II.</w:t>
            </w:r>
            <w:r>
              <w:rPr>
                <w:rStyle w:val="Czeindeksu"/>
                <w:rFonts w:eastAsia="" w:cs="" w:cstheme="minorBidi" w:eastAsiaTheme="minorEastAsia"/>
                <w:sz w:val="22"/>
                <w:szCs w:val="22"/>
                <w:lang w:eastAsia="pl-PL" w:bidi="ar-SA"/>
              </w:rPr>
              <w:tab/>
            </w:r>
            <w:r>
              <w:rPr>
                <w:rStyle w:val="Czeindeksu"/>
                <w:b/>
                <w:bCs/>
              </w:rPr>
              <w:t>Cele programu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_Toc166491865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/>
          </w:pPr>
          <w:r>
            <w:rPr/>
            <w:t>III.</w:t>
            <w:tab/>
            <w:t>Zasady, formy i obszary współpracy Gminy z organizacjami pozarządowymi oraz   innymi podmiotami</w:t>
          </w:r>
        </w:p>
        <w:p>
          <w:pPr>
            <w:pStyle w:val="TOC2"/>
            <w:tabs>
              <w:tab w:val="clear" w:pos="709"/>
              <w:tab w:val="left" w:pos="660" w:leader="none"/>
              <w:tab w:val="right" w:pos="9628" w:leader="dot"/>
            </w:tabs>
            <w:rPr/>
          </w:pPr>
          <w:hyperlink w:anchor="_Toc166491867">
            <w:r>
              <w:rPr>
                <w:webHidden/>
                <w:rStyle w:val="Czeindeksu"/>
                <w:vanish w:val="false"/>
              </w:rPr>
              <w:t>1.</w:t>
            </w:r>
            <w:r>
              <w:rPr>
                <w:rStyle w:val="Czeindeksu"/>
                <w:rFonts w:eastAsia="" w:cs="" w:cstheme="minorBidi" w:eastAsiaTheme="minorEastAsia"/>
                <w:sz w:val="22"/>
                <w:szCs w:val="22"/>
                <w:lang w:eastAsia="pl-PL" w:bidi="ar-SA"/>
              </w:rPr>
              <w:tab/>
            </w:r>
            <w:r>
              <w:rPr>
                <w:rStyle w:val="Czeindeksu"/>
              </w:rPr>
              <w:t>Współpraca o charakterze finansowym.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_Toc166491867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b/>
                <w:bCs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ind w:firstLine="709"/>
            <w:rPr>
              <w:rFonts w:ascii="Times New Roman" w:hAnsi="Times New Roman"/>
            </w:rPr>
          </w:pPr>
          <w:r>
            <w:rPr/>
            <w:t xml:space="preserve">Zestawienie otwartych konkursów ofert ogłoszonych przez Gminę Miasta Pionki </w:t>
          </w:r>
        </w:p>
        <w:p>
          <w:pPr>
            <w:pStyle w:val="Normal"/>
            <w:ind w:firstLine="709"/>
            <w:rPr>
              <w:rFonts w:ascii="Times New Roman" w:hAnsi="Times New Roman"/>
            </w:rPr>
          </w:pPr>
          <w:r>
            <w:rPr/>
            <w:t>w 2023 r. ……………………………………………………………………………………..</w:t>
          </w:r>
          <w:r>
            <w:rPr>
              <w:b/>
              <w:bCs/>
            </w:rPr>
            <w:t>6</w:t>
          </w:r>
        </w:p>
        <w:p>
          <w:pPr>
            <w:pStyle w:val="Normal"/>
            <w:ind w:firstLine="709"/>
            <w:rPr>
              <w:rFonts w:ascii="Times New Roman" w:hAnsi="Times New Roman"/>
            </w:rPr>
          </w:pPr>
          <w:r>
            <w:rPr/>
            <w:t>Zestawienie dotacji udzielonych w trybie uproszczonym (poza konkursem) w 2023 r……...</w:t>
          </w:r>
          <w:r>
            <w:rPr>
              <w:b/>
              <w:bCs/>
            </w:rPr>
            <w:t>7</w:t>
          </w:r>
        </w:p>
        <w:p>
          <w:pPr>
            <w:pStyle w:val="TOC2"/>
            <w:widowControl w:val="false"/>
            <w:tabs>
              <w:tab w:val="clear" w:pos="709"/>
              <w:tab w:val="right" w:pos="9628" w:leader="dot"/>
            </w:tabs>
            <w:suppressAutoHyphens w:val="true"/>
            <w:bidi w:val="0"/>
            <w:ind w:left="240"/>
            <w:jc w:val="left"/>
            <w:textAlignment w:val="baseline"/>
            <w:rPr/>
          </w:pPr>
          <w:r>
            <w:rPr/>
            <w:t xml:space="preserve">2. Współpraca o </w:t>
          </w:r>
          <w:r>
            <w:rPr>
              <w:rFonts w:eastAsia="Arial Unicode MS" w:cs="Mangal"/>
              <w:vanish w:val="false"/>
              <w:color w:val="auto"/>
              <w:kern w:val="2"/>
              <w:sz w:val="24"/>
              <w:szCs w:val="21"/>
              <w:lang w:val="pl-PL" w:eastAsia="zh-CN" w:bidi="hi-IN"/>
            </w:rPr>
            <w:t>charakterze</w:t>
          </w:r>
          <w:r>
            <w:rPr/>
            <w:t xml:space="preserve"> poza finansowym</w:t>
            <w:tab/>
            <w:t>9</w:t>
          </w:r>
        </w:p>
        <w:p>
          <w:pPr>
            <w:pStyle w:val="TOC1"/>
            <w:widowControl w:val="false"/>
            <w:tabs>
              <w:tab w:val="clear" w:pos="660"/>
              <w:tab w:val="right" w:pos="9628" w:leader="dot"/>
            </w:tabs>
            <w:suppressAutoHyphens w:val="true"/>
            <w:bidi w:val="0"/>
            <w:jc w:val="left"/>
            <w:textAlignment w:val="baseline"/>
            <w:rPr/>
          </w:pPr>
          <w:r>
            <w:rPr>
              <w:b/>
              <w:bCs/>
            </w:rPr>
            <w:t>IV. Podsumowanie</w:t>
          </w:r>
          <w:r>
            <w:rPr/>
            <w:tab/>
            <w:t>10</w:t>
          </w:r>
        </w:p>
        <w:p>
          <w:pPr>
            <w:pStyle w:val="Normal"/>
            <w:rPr>
              <w:rFonts w:ascii="Times New Roman" w:hAnsi="Times New Roman"/>
            </w:rPr>
          </w:pPr>
          <w:r>
            <w:rPr>
              <w:b/>
              <w:bCs/>
            </w:rPr>
            <w:tab/>
          </w:r>
          <w:r>
            <w:rPr>
              <w:b/>
              <w:bCs/>
            </w:rPr>
            <w:fldChar w:fldCharType="end"/>
          </w:r>
        </w:p>
      </w:sdtContent>
    </w:sdt>
    <w:p>
      <w:pPr>
        <w:pStyle w:val="Normal"/>
        <w:ind w:firstLine="709"/>
        <w:rPr/>
      </w:pPr>
      <w:r>
        <w:rPr/>
      </w:r>
    </w:p>
    <w:p>
      <w:pPr>
        <w:pStyle w:val="Normal"/>
        <w:suppressAutoHyphens w:val="false"/>
        <w:rPr>
          <w:rFonts w:ascii="Calibri Light" w:hAnsi="Calibri Light" w:eastAsia="" w:asciiTheme="majorHAnsi" w:eastAsiaTheme="majorEastAsia" w:hAnsiTheme="majorHAnsi"/>
          <w:color w:themeColor="accent1" w:themeShade="bf" w:val="2F5496"/>
          <w:sz w:val="32"/>
          <w:szCs w:val="29"/>
        </w:rPr>
      </w:pPr>
      <w:r>
        <w:rPr>
          <w:rFonts w:eastAsia="" w:eastAsiaTheme="majorEastAsia" w:ascii="Calibri Light" w:hAnsi="Calibri Light"/>
          <w:color w:themeColor="accent1" w:themeShade="bf" w:val="2F5496"/>
          <w:sz w:val="32"/>
          <w:szCs w:val="29"/>
        </w:rPr>
      </w:r>
      <w:r>
        <w:br w:type="page"/>
      </w:r>
    </w:p>
    <w:p>
      <w:pPr>
        <w:pStyle w:val="Heading1"/>
        <w:numPr>
          <w:ilvl w:val="0"/>
          <w:numId w:val="4"/>
        </w:numPr>
        <w:spacing w:before="0" w:after="0"/>
        <w:rPr>
          <w:rFonts w:ascii="Times New Roman" w:hAnsi="Times New Roman"/>
        </w:rPr>
      </w:pPr>
      <w:bookmarkStart w:id="0" w:name="_Toc166491864"/>
      <w:r>
        <w:rPr>
          <w:rFonts w:ascii="Times New Roman" w:hAnsi="Times New Roman"/>
          <w:b/>
          <w:bCs/>
          <w:u w:val="single"/>
        </w:rPr>
        <w:t>Wstęp</w:t>
      </w:r>
      <w:bookmarkEnd w:id="0"/>
    </w:p>
    <w:p>
      <w:pPr>
        <w:pStyle w:val="Standard"/>
        <w:spacing w:lineRule="auto" w:line="36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Standard"/>
        <w:spacing w:lineRule="auto" w:line="360"/>
        <w:jc w:val="both"/>
        <w:rPr>
          <w:rFonts w:cs="Times New Roman"/>
        </w:rPr>
      </w:pPr>
      <w:r>
        <w:rPr>
          <w:rFonts w:cs="Times New Roman"/>
        </w:rPr>
        <w:tab/>
        <w:t xml:space="preserve">Współpraca z organizacjami pozarządowymi jest jednym z priorytetowych zadań Gminy Miasta Pionki w sferze społecznej, kulturalnej i sportowo-rekreacyjnej. Przedmiotowa współpraca obejmuje swym zakresem nie tylko finansowanie lub współfinansowanie zadań publicznych, </w:t>
        <w:br/>
        <w:t xml:space="preserve">ale także promocję działań grup formalnych oraz wsparcie w realizacji działań statutowych </w:t>
        <w:br/>
        <w:t xml:space="preserve">i doradztwo merytoryczne. </w:t>
      </w:r>
    </w:p>
    <w:p>
      <w:pPr>
        <w:pStyle w:val="Standard"/>
        <w:spacing w:lineRule="auto" w:line="360"/>
        <w:ind w:firstLine="709"/>
        <w:jc w:val="both"/>
        <w:rPr>
          <w:rFonts w:cs="Times New Roman"/>
        </w:rPr>
      </w:pPr>
      <w:r>
        <w:rPr>
          <w:rFonts w:cs="Times New Roman"/>
        </w:rPr>
        <w:t>Zgodnie z zapisami art. 5a ust. 3 ustawy z dnia 24 kwietnia 2003 r. o działalności pożytku publicznego i o wolontariacie (Dz. U. z 2023 r., poz. 571) Burmistrz Miasta Pionki każdego roku zobowiązany jest przedłożyć organowi stanowiącemu sprawozdanie z wykonania Programu Współpracy Gminy Miasta Pionki z organizacjami pozarządowymi oraz podmiotami, o których mowa w art. 3 ust. 3 w/w ustawy za rok poprzedni oraz musi je opublikować w Biuletynie Informacji Publicznej.</w:t>
      </w:r>
    </w:p>
    <w:p>
      <w:pPr>
        <w:pStyle w:val="Standard"/>
        <w:spacing w:lineRule="auto" w:line="360"/>
        <w:jc w:val="both"/>
        <w:rPr>
          <w:rFonts w:cs="Times New Roman"/>
        </w:rPr>
      </w:pPr>
      <w:r>
        <w:rPr>
          <w:rFonts w:cs="Times New Roman"/>
          <w:sz w:val="26"/>
          <w:szCs w:val="26"/>
        </w:rPr>
        <w:tab/>
      </w:r>
      <w:r>
        <w:rPr>
          <w:rFonts w:cs="Times New Roman"/>
        </w:rPr>
        <w:t>Program Współpracy Gminy Miasta Pionki z organizacjami pozarządowymi i innymi podmiotami prowadzącymi działalność pożytku publicznego w 2023 r. został przyjęty przez Radę Miasta Pionki Uchwałą Nr LX/343/2022 Rady Miasta Pionki z dnia 23 listopada 2022 r. w sprawie przyjęcia Rocznego Programu Współpracy Gminy Miasta Pionki z organizacjami pozarządowymi oraz podmiotami, o których mowa w art. 3 ust. 3 ustawy z dnia 24 kwietnia 2003 r. o działalności pożytku publicznego i wolontariacie na 2023 rok.</w:t>
      </w:r>
    </w:p>
    <w:p>
      <w:pPr>
        <w:pStyle w:val="Standard"/>
        <w:spacing w:lineRule="auto" w:line="360"/>
        <w:jc w:val="both"/>
        <w:rPr>
          <w:rFonts w:cs="Times New Roman"/>
        </w:rPr>
      </w:pPr>
      <w:r>
        <w:rPr>
          <w:rFonts w:cs="Times New Roman"/>
        </w:rPr>
        <w:tab/>
        <w:t xml:space="preserve">Projekt Programu Współpracy został poddany konsultacjom na podstawie Uchwały                   Nr XV/148/2011 Rady Miasta Pionki z dnia 31 sierpnia 2011 r. w sprawie określenia szczegółowego sposobu konsultowania z organizacjami pozarządowymi i podmiotami, o których mowa w art. 3 ust. 3 ustawy o działalności pożytku publicznego i o wolontariacie lub Radą Działalności Pożytku Publicznego, projektów aktów prawa miejscowego w dziedzinach dotyczących ich działalności statutowej.  </w:t>
      </w:r>
    </w:p>
    <w:p>
      <w:pPr>
        <w:pStyle w:val="Standard"/>
        <w:spacing w:lineRule="auto" w:line="360"/>
        <w:jc w:val="both"/>
        <w:rPr>
          <w:rFonts w:cs="Times New Roman"/>
        </w:rPr>
      </w:pPr>
      <w:r>
        <w:rPr>
          <w:rFonts w:cs="Times New Roman"/>
        </w:rPr>
        <w:tab/>
        <w:t xml:space="preserve">Konsultacje przeprowadzono w okresie od 12 października 2022 r. do 31 października </w:t>
        <w:br/>
        <w:t xml:space="preserve">2022 r. Uwagi do projektu Programu należało zgłaszać w formie pisemnej z użyciem wzoru formularza do konsultacji, który stanowił załącznik nr 2 do Zarządzenia Nr 122/2022 Burmistrza Miasta Pionki z dnia 11 października 2022 r. w sprawie </w:t>
      </w:r>
      <w:r>
        <w:rPr/>
        <w:t xml:space="preserve">określenia szczegółowego sposobu konsultowania z organizacjami pozarządowymi i innymi podmiotami, o których mowa w art. 3 </w:t>
        <w:br/>
        <w:t>ust. 3 ustawy o działalności pożytku publicznego i wolontariacie, projektów aktów prawa miejscowego w dziedzinach dotyczących działalności statutowej tych organizacji</w:t>
      </w:r>
      <w:r>
        <w:rPr>
          <w:rFonts w:cs="Times New Roman"/>
        </w:rPr>
        <w:t>. Podczas otwartego spotkania, które odbyło się w dniu 27 października 2022 r. wysłuchano opinii przedstawicieli 21 organizacji pozarządowych. W spotkaniu tym uczestniczyli: Dyrektor Pionkowskiego Ośrodka Sportu i Rekreacji, pracownik Pionkowskiego Ośrodka Sportu i Rekreacji oraz pracownik Wydziału Organizacyjnego i Spraw Obywatelskich Urzędu Miasta w Pionkach, odpowiedzialni za współpracę z tymi organizacjami. Zebrane podczas spotkania opinie posłużyły do sporządzenia ostatecznego projektu Programu Współpracy, który został skierowany przez Burmistrza Miasta Pionki do uchwalenia przez Radę Miasta Pionki.</w:t>
      </w:r>
    </w:p>
    <w:p>
      <w:pPr>
        <w:pStyle w:val="Heading1"/>
        <w:numPr>
          <w:ilvl w:val="0"/>
          <w:numId w:val="4"/>
        </w:numPr>
        <w:rPr>
          <w:rFonts w:ascii="Times New Roman" w:hAnsi="Times New Roman"/>
        </w:rPr>
      </w:pPr>
      <w:bookmarkStart w:id="1" w:name="_Toc166491865"/>
      <w:r>
        <w:rPr>
          <w:rFonts w:ascii="Times New Roman" w:hAnsi="Times New Roman"/>
          <w:b/>
          <w:bCs/>
          <w:u w:val="single"/>
        </w:rPr>
        <w:t>Cele programu</w:t>
      </w:r>
      <w:bookmarkEnd w:id="1"/>
    </w:p>
    <w:p>
      <w:pPr>
        <w:pStyle w:val="Normal"/>
        <w:rPr/>
      </w:pPr>
      <w:r>
        <w:rPr/>
      </w:r>
    </w:p>
    <w:p>
      <w:pPr>
        <w:pStyle w:val="Standard"/>
        <w:spacing w:lineRule="auto" w:line="36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Celem głównym uchwalonego na 2023 rok Programu Współpracy z Organizacjami Pozarządowymi było budowanie, rozwijanie i kształtowanie partnerstwa Miasta z organizacjami pozarządowymi i innymi podmiotami, dla wspólnych działań służących zaspakajaniu społecznych potrzeb mieszkańców oraz wzmacnianiu ich aktywności obywatelskiej. </w:t>
      </w:r>
    </w:p>
    <w:p>
      <w:pPr>
        <w:pStyle w:val="Standard"/>
        <w:spacing w:lineRule="auto" w:line="360"/>
        <w:ind w:firstLine="709"/>
        <w:jc w:val="both"/>
        <w:rPr/>
      </w:pPr>
      <w:r>
        <w:rPr>
          <w:rFonts w:cs="Times New Roman"/>
        </w:rPr>
        <w:t>Celami szczegółowymi programu były:</w:t>
      </w:r>
    </w:p>
    <w:p>
      <w:pPr>
        <w:pStyle w:val="Standard"/>
        <w:numPr>
          <w:ilvl w:val="0"/>
          <w:numId w:val="3"/>
        </w:numPr>
        <w:spacing w:lineRule="auto" w:line="360"/>
        <w:jc w:val="both"/>
        <w:rPr/>
      </w:pPr>
      <w:r>
        <w:rPr/>
        <w:t>wzmacnianie w świadomości społecznej poczucia odpowiedzialności za siebie, swoje</w:t>
      </w:r>
    </w:p>
    <w:p>
      <w:pPr>
        <w:pStyle w:val="Standard"/>
        <w:spacing w:lineRule="auto" w:line="360"/>
        <w:jc w:val="both"/>
        <w:rPr/>
      </w:pPr>
      <w:r>
        <w:rPr/>
        <w:t>otoczenie, wspólnotę lokalną, jej tożsamość i tradycję,</w:t>
      </w:r>
    </w:p>
    <w:p>
      <w:pPr>
        <w:pStyle w:val="Standard"/>
        <w:numPr>
          <w:ilvl w:val="0"/>
          <w:numId w:val="3"/>
        </w:numPr>
        <w:spacing w:lineRule="auto" w:line="360"/>
        <w:jc w:val="both"/>
        <w:rPr/>
      </w:pPr>
      <w:r>
        <w:rPr/>
        <w:t>tworzenie warunków do wyrównywania szans niepełnosprawnych członków społeczności</w:t>
      </w:r>
    </w:p>
    <w:p>
      <w:pPr>
        <w:pStyle w:val="Standard"/>
        <w:spacing w:lineRule="auto" w:line="360"/>
        <w:jc w:val="both"/>
        <w:rPr/>
      </w:pPr>
      <w:r>
        <w:rPr/>
        <w:t>Miasta Pionki, w każdym aspekcie życia tej społeczności,</w:t>
      </w:r>
    </w:p>
    <w:p>
      <w:pPr>
        <w:pStyle w:val="Standard"/>
        <w:numPr>
          <w:ilvl w:val="0"/>
          <w:numId w:val="3"/>
        </w:numPr>
        <w:spacing w:lineRule="auto" w:line="360"/>
        <w:jc w:val="both"/>
        <w:rPr/>
      </w:pPr>
      <w:r>
        <w:rPr/>
        <w:t>zapewnienie warunków do wyrównywania szans życiowych dla dzieci i młodzieży</w:t>
      </w:r>
    </w:p>
    <w:p>
      <w:pPr>
        <w:pStyle w:val="Standard"/>
        <w:spacing w:lineRule="auto" w:line="360"/>
        <w:jc w:val="both"/>
        <w:rPr/>
      </w:pPr>
      <w:r>
        <w:rPr/>
        <w:t xml:space="preserve">z rodzin biednych i niewydolnych wychowawczo. </w:t>
      </w:r>
    </w:p>
    <w:p>
      <w:pPr>
        <w:pStyle w:val="Standard"/>
        <w:spacing w:lineRule="auto" w:line="360"/>
        <w:ind w:firstLine="524"/>
        <w:jc w:val="both"/>
        <w:rPr/>
      </w:pPr>
      <w:r>
        <w:rPr>
          <w:rFonts w:cs="Times New Roman"/>
        </w:rPr>
        <w:t>Pozostałe cele to:</w:t>
      </w:r>
    </w:p>
    <w:p>
      <w:pPr>
        <w:pStyle w:val="Standard"/>
        <w:numPr>
          <w:ilvl w:val="0"/>
          <w:numId w:val="90"/>
        </w:numPr>
        <w:spacing w:lineRule="auto" w:line="360"/>
        <w:jc w:val="both"/>
        <w:textAlignment w:val="auto"/>
        <w:rPr/>
      </w:pPr>
      <w:r>
        <w:rPr>
          <w:rFonts w:cs="Times New Roman"/>
        </w:rPr>
        <w:t xml:space="preserve">wzmacnianie pozycji organizacji pozarządowych i zapewnienie im równych z innymi podmiotami szans w realizacji zadań publicznych, poprzez wspieranie oraz powierzenie im zadań, z jednoczesnym zapewnieniem odpowiednich środków na ich realizację;                                        </w:t>
      </w:r>
    </w:p>
    <w:p>
      <w:pPr>
        <w:pStyle w:val="Standard"/>
        <w:numPr>
          <w:ilvl w:val="0"/>
          <w:numId w:val="91"/>
        </w:numPr>
        <w:spacing w:lineRule="auto" w:line="360"/>
        <w:jc w:val="both"/>
        <w:textAlignment w:val="auto"/>
        <w:rPr/>
      </w:pPr>
      <w:r>
        <w:rPr>
          <w:rFonts w:cs="Times New Roman"/>
        </w:rPr>
        <w:t xml:space="preserve">realizacja zadań publicznych określonych w ustawie, wymienionych w § 7 przedmiotowego Programu;                                                                 </w:t>
      </w:r>
    </w:p>
    <w:p>
      <w:pPr>
        <w:pStyle w:val="Standard"/>
        <w:numPr>
          <w:ilvl w:val="0"/>
          <w:numId w:val="92"/>
        </w:numPr>
        <w:spacing w:lineRule="auto" w:line="360"/>
        <w:jc w:val="both"/>
        <w:textAlignment w:val="auto"/>
        <w:rPr/>
      </w:pPr>
      <w:r>
        <w:rPr>
          <w:rFonts w:cs="Times New Roman"/>
        </w:rPr>
        <w:t>prowadzenie nowatorskich  i efektywnych działań na rzecz Miasta Pionki oraz tworzenie systemowych rozwiązań dla ważnych problemów społecznych.</w:t>
      </w:r>
    </w:p>
    <w:p>
      <w:pPr>
        <w:pStyle w:val="Heading1"/>
        <w:numPr>
          <w:ilvl w:val="0"/>
          <w:numId w:val="4"/>
        </w:numPr>
        <w:rPr>
          <w:rFonts w:ascii="Times New Roman" w:hAnsi="Times New Roman"/>
        </w:rPr>
      </w:pPr>
      <w:bookmarkStart w:id="2" w:name="_Toc166491866"/>
      <w:r>
        <w:rPr>
          <w:rFonts w:ascii="Times New Roman" w:hAnsi="Times New Roman"/>
          <w:b/>
          <w:bCs/>
          <w:u w:val="single"/>
        </w:rPr>
        <w:t>Zasady, formy i obszary współpracy Gminy z organizacjami pozarządowymi oraz innymi podmiotami</w:t>
      </w:r>
      <w:bookmarkEnd w:id="2"/>
    </w:p>
    <w:p>
      <w:pPr>
        <w:pStyle w:val="Normal"/>
        <w:rPr/>
      </w:pPr>
      <w:r>
        <w:rPr/>
      </w:r>
    </w:p>
    <w:p>
      <w:pPr>
        <w:pStyle w:val="Standard"/>
        <w:spacing w:lineRule="auto" w:line="360"/>
        <w:jc w:val="both"/>
        <w:rPr/>
      </w:pPr>
      <w:r>
        <w:rPr>
          <w:rFonts w:cs="Times New Roman"/>
        </w:rPr>
        <w:tab/>
      </w:r>
      <w:r>
        <w:rPr>
          <w:rFonts w:cs="Times New Roman"/>
          <w:b/>
          <w:bCs/>
        </w:rPr>
        <w:t>W 2023 roku priorytetowe obszary współpracy Gminy Miasta Pionki</w:t>
        <w:br/>
        <w:t xml:space="preserve"> z organizacjami pozarządowymi i innymi podmiotami mogły obejmować:</w:t>
      </w:r>
    </w:p>
    <w:p>
      <w:pPr>
        <w:pStyle w:val="Standard"/>
        <w:numPr>
          <w:ilvl w:val="0"/>
          <w:numId w:val="93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 xml:space="preserve">pomoc społeczną, w tym pomoc rodzinom i osobom w trudnej sytuacji życiowej </w:t>
        <w:br/>
        <w:t>oraz wyrównywanie szans tych rodzin i osób;</w:t>
      </w:r>
    </w:p>
    <w:p>
      <w:pPr>
        <w:pStyle w:val="Standard"/>
        <w:numPr>
          <w:ilvl w:val="0"/>
          <w:numId w:val="94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na rzecz integracji i reintegracji zawodowej i społecznej osób zagrożonych wykluczeniem społecznym;</w:t>
      </w:r>
    </w:p>
    <w:p>
      <w:pPr>
        <w:pStyle w:val="Standard"/>
        <w:numPr>
          <w:ilvl w:val="0"/>
          <w:numId w:val="95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charytatywną;</w:t>
      </w:r>
    </w:p>
    <w:p>
      <w:pPr>
        <w:pStyle w:val="Standard"/>
        <w:numPr>
          <w:ilvl w:val="0"/>
          <w:numId w:val="96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podtrzymywanie i upowszechnianie tradycji narodowej, pielęgnowanie polskości oraz rozwoju świadomości narodowej, obywatelskiej i kulturowej;</w:t>
      </w:r>
    </w:p>
    <w:p>
      <w:pPr>
        <w:pStyle w:val="Standard"/>
        <w:numPr>
          <w:ilvl w:val="0"/>
          <w:numId w:val="97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na rzecz mniejszości narodowych i etnicznych oraz języka regionalnego;</w:t>
      </w:r>
    </w:p>
    <w:p>
      <w:pPr>
        <w:pStyle w:val="Standard"/>
        <w:numPr>
          <w:ilvl w:val="0"/>
          <w:numId w:val="98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ochronę i promocję zdrowia;</w:t>
      </w:r>
    </w:p>
    <w:p>
      <w:pPr>
        <w:pStyle w:val="Standard"/>
        <w:numPr>
          <w:ilvl w:val="0"/>
          <w:numId w:val="99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na rzecz osób niepełnosprawnych;</w:t>
      </w:r>
    </w:p>
    <w:p>
      <w:pPr>
        <w:pStyle w:val="Standard"/>
        <w:numPr>
          <w:ilvl w:val="0"/>
          <w:numId w:val="100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 xml:space="preserve">promocję zatrudnienia i aktywizacji zawodowej osób pozostających bez pracy </w:t>
        <w:br/>
        <w:t>i zagrożonych zwolnieniem z pracy;</w:t>
      </w:r>
    </w:p>
    <w:p>
      <w:pPr>
        <w:pStyle w:val="Standard"/>
        <w:numPr>
          <w:ilvl w:val="0"/>
          <w:numId w:val="101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na rzecz równych praw kobiet i mężczyzn;</w:t>
      </w:r>
    </w:p>
    <w:p>
      <w:pPr>
        <w:pStyle w:val="Standard"/>
        <w:numPr>
          <w:ilvl w:val="0"/>
          <w:numId w:val="102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na rzecz osób w wieku emerytalnym;</w:t>
      </w:r>
    </w:p>
    <w:p>
      <w:pPr>
        <w:pStyle w:val="Standard"/>
        <w:numPr>
          <w:ilvl w:val="0"/>
          <w:numId w:val="103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wspomagającą rozwój gospodarczy, w tym rozwój przedsiębiorczości;</w:t>
      </w:r>
    </w:p>
    <w:p>
      <w:pPr>
        <w:pStyle w:val="Standard"/>
        <w:numPr>
          <w:ilvl w:val="0"/>
          <w:numId w:val="104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wspomagającą rozwój techniki, wynalazczości i innowacyjności oraz rozpowszechnianie i wdrażanie nowych rozwiązań technicznych;</w:t>
      </w:r>
    </w:p>
    <w:p>
      <w:pPr>
        <w:pStyle w:val="Standard"/>
        <w:numPr>
          <w:ilvl w:val="0"/>
          <w:numId w:val="105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wspomagającą rozwój wspólnot i społeczności lokalnych;</w:t>
      </w:r>
    </w:p>
    <w:p>
      <w:pPr>
        <w:pStyle w:val="Standard"/>
        <w:numPr>
          <w:ilvl w:val="0"/>
          <w:numId w:val="106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naukę, szkolnictwo wyższe, edukację, oświatę i wychowanie;</w:t>
      </w:r>
    </w:p>
    <w:p>
      <w:pPr>
        <w:pStyle w:val="Standard"/>
        <w:numPr>
          <w:ilvl w:val="0"/>
          <w:numId w:val="107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na rzecz dzieci i młodzieży, w tym wypoczynek dzieci i młodzieży;</w:t>
      </w:r>
    </w:p>
    <w:p>
      <w:pPr>
        <w:pStyle w:val="Standard"/>
        <w:numPr>
          <w:ilvl w:val="0"/>
          <w:numId w:val="108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kulturę, sztukę, ochronę dóbr kultury i dziedzictwa narodowego;</w:t>
      </w:r>
    </w:p>
    <w:p>
      <w:pPr>
        <w:pStyle w:val="Standard"/>
        <w:numPr>
          <w:ilvl w:val="0"/>
          <w:numId w:val="109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wspieranie i upowszechnianie kultury fizycznej i sportu;</w:t>
      </w:r>
    </w:p>
    <w:p>
      <w:pPr>
        <w:pStyle w:val="Standard"/>
        <w:numPr>
          <w:ilvl w:val="0"/>
          <w:numId w:val="110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ekologię i ochronę zwierząt oraz ochronę dziedzictwa przyrodniczego;</w:t>
      </w:r>
    </w:p>
    <w:p>
      <w:pPr>
        <w:pStyle w:val="Standard"/>
        <w:numPr>
          <w:ilvl w:val="0"/>
          <w:numId w:val="111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turystykę i krajoznawstwo;</w:t>
      </w:r>
    </w:p>
    <w:p>
      <w:pPr>
        <w:pStyle w:val="Standard"/>
        <w:numPr>
          <w:ilvl w:val="0"/>
          <w:numId w:val="112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na rzecz porządku i bezpieczeństwa publicznego;</w:t>
      </w:r>
    </w:p>
    <w:p>
      <w:pPr>
        <w:pStyle w:val="Standard"/>
        <w:numPr>
          <w:ilvl w:val="0"/>
          <w:numId w:val="113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obronność państwa i działalność Sił Zbrojnych Rzeczypospolitej Polskiej;</w:t>
      </w:r>
    </w:p>
    <w:p>
      <w:pPr>
        <w:pStyle w:val="Standard"/>
        <w:numPr>
          <w:ilvl w:val="0"/>
          <w:numId w:val="114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upowszechnianie i ochronę wolności i praw człowieka oraz swobód obywatelskich, a także działań wspierających rozwój demokracji;</w:t>
      </w:r>
    </w:p>
    <w:p>
      <w:pPr>
        <w:pStyle w:val="Standard"/>
        <w:numPr>
          <w:ilvl w:val="0"/>
          <w:numId w:val="115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ratownictwo i ochronę ludności;</w:t>
      </w:r>
    </w:p>
    <w:p>
      <w:pPr>
        <w:pStyle w:val="Standard"/>
        <w:numPr>
          <w:ilvl w:val="0"/>
          <w:numId w:val="116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 xml:space="preserve">pomoc ofiarom katastrofy, klęsk żywiołowych, konfliktów zbrojnych i wojen w kraju </w:t>
        <w:br/>
        <w:t>i za granicą;</w:t>
      </w:r>
    </w:p>
    <w:p>
      <w:pPr>
        <w:pStyle w:val="Standard"/>
        <w:numPr>
          <w:ilvl w:val="0"/>
          <w:numId w:val="117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upowszechnianie i ochronę praw konsumentów;</w:t>
      </w:r>
    </w:p>
    <w:p>
      <w:pPr>
        <w:pStyle w:val="Standard"/>
        <w:numPr>
          <w:ilvl w:val="0"/>
          <w:numId w:val="118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na rzecz integracji europejskiej oraz rozwijania kontaktów i współpracy między społeczeństwami;</w:t>
      </w:r>
    </w:p>
    <w:p>
      <w:pPr>
        <w:pStyle w:val="Standard"/>
        <w:numPr>
          <w:ilvl w:val="0"/>
          <w:numId w:val="119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promocję i organizację wolontariatu;</w:t>
      </w:r>
    </w:p>
    <w:p>
      <w:pPr>
        <w:pStyle w:val="Standard"/>
        <w:numPr>
          <w:ilvl w:val="0"/>
          <w:numId w:val="120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pomoc Polonii i Polakom za granicą;</w:t>
      </w:r>
    </w:p>
    <w:p>
      <w:pPr>
        <w:pStyle w:val="Standard"/>
        <w:numPr>
          <w:ilvl w:val="0"/>
          <w:numId w:val="121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na rzecz kombatantów i osób represjonowanych;</w:t>
      </w:r>
    </w:p>
    <w:p>
      <w:pPr>
        <w:pStyle w:val="Standard"/>
        <w:numPr>
          <w:ilvl w:val="0"/>
          <w:numId w:val="122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promocję Rzeczypospolitej Polskiej za granicą;</w:t>
      </w:r>
    </w:p>
    <w:p>
      <w:pPr>
        <w:pStyle w:val="Standard"/>
        <w:numPr>
          <w:ilvl w:val="0"/>
          <w:numId w:val="123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działalność na rzecz rodziny, macierzyństwa, rodzicielstwa, upowszechniania i ochrony praw dziecka;</w:t>
      </w:r>
    </w:p>
    <w:p>
      <w:pPr>
        <w:pStyle w:val="Standard"/>
        <w:numPr>
          <w:ilvl w:val="0"/>
          <w:numId w:val="124"/>
        </w:numPr>
        <w:spacing w:lineRule="auto" w:line="36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  <w:t>przeciwdziałania uzależnieniom i patologiom społecznym.</w:t>
      </w:r>
    </w:p>
    <w:p>
      <w:pPr>
        <w:pStyle w:val="Standard"/>
        <w:numPr>
          <w:ilvl w:val="0"/>
          <w:numId w:val="0"/>
        </w:numPr>
        <w:spacing w:lineRule="auto" w:line="360"/>
        <w:ind w:hanging="0" w:left="720"/>
        <w:jc w:val="both"/>
        <w:textAlignment w:val="auto"/>
        <w:rPr>
          <w:rFonts w:cs="Times New Roman"/>
          <w:color w:val="000000"/>
          <w:shd w:fill="FFFFFF" w:val="clear"/>
        </w:rPr>
      </w:pPr>
      <w:r>
        <w:rPr>
          <w:rFonts w:cs="Times New Roman"/>
          <w:color w:val="000000"/>
          <w:shd w:fill="FFFFFF" w:val="clear"/>
        </w:rPr>
      </w:r>
    </w:p>
    <w:p>
      <w:pPr>
        <w:pStyle w:val="Standard"/>
        <w:spacing w:lineRule="auto" w:line="360"/>
        <w:jc w:val="both"/>
        <w:rPr/>
      </w:pPr>
      <w:r>
        <w:rPr>
          <w:rFonts w:cs="Times New Roman"/>
          <w:b/>
          <w:bCs/>
        </w:rPr>
        <w:tab/>
        <w:t>W 2023 roku cele realizowane były w formie finansowej i poza finansowej. Objęły one następujące sfery pożytku publicznego:</w:t>
      </w:r>
    </w:p>
    <w:p>
      <w:pPr>
        <w:pStyle w:val="Standard"/>
        <w:numPr>
          <w:ilvl w:val="0"/>
          <w:numId w:val="1"/>
        </w:numPr>
        <w:spacing w:lineRule="auto" w:line="360"/>
        <w:jc w:val="both"/>
        <w:textAlignment w:val="auto"/>
        <w:rPr>
          <w:rFonts w:cs="Times New Roman"/>
        </w:rPr>
      </w:pPr>
      <w:r>
        <w:rPr>
          <w:rFonts w:cs="Times New Roman"/>
        </w:rPr>
        <w:t>Wspieranie i upowszechnianie kultury fizycznej i sportu;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Działalność na rzecz dzieci i młodzieży, w tym wypoczynek dzieci i młodzieży;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Ekologia i Ochrona Zwierząt oraz Ochrona Dziedzictwa Przyrodniczego;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Kultura, Sztuka, Ochrona Dóbr Kultury i Dziedzictwa Narodowego;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Ochrona i Promocja Zdrowia;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Pomoc Społeczna.</w:t>
      </w:r>
    </w:p>
    <w:p>
      <w:pPr>
        <w:pStyle w:val="Normal"/>
        <w:spacing w:lineRule="auto" w:line="360"/>
        <w:ind w:left="720"/>
        <w:jc w:val="both"/>
        <w:rPr>
          <w:rFonts w:cs="Times New Roman"/>
          <w:color w:val="C9211E"/>
        </w:rPr>
      </w:pPr>
      <w:r>
        <w:rPr>
          <w:rFonts w:cs="Times New Roman"/>
          <w:color w:val="C9211E"/>
        </w:rPr>
      </w:r>
    </w:p>
    <w:p>
      <w:pPr>
        <w:pStyle w:val="Standard"/>
        <w:numPr>
          <w:ilvl w:val="0"/>
          <w:numId w:val="5"/>
        </w:numPr>
        <w:rPr>
          <w:b/>
          <w:bCs/>
        </w:rPr>
      </w:pPr>
      <w:bookmarkStart w:id="3" w:name="_Toc166491867"/>
      <w:r>
        <w:rPr>
          <w:b/>
          <w:bCs/>
        </w:rPr>
        <w:t>Współpraca o charakterze finansowym.</w:t>
      </w:r>
      <w:bookmarkEnd w:id="3"/>
    </w:p>
    <w:p>
      <w:pPr>
        <w:pStyle w:val="Standard"/>
        <w:numPr>
          <w:ilvl w:val="0"/>
          <w:numId w:val="0"/>
        </w:numPr>
        <w:ind w:hanging="0" w:left="720"/>
        <w:rPr>
          <w:b/>
          <w:bCs/>
        </w:rPr>
      </w:pPr>
      <w:r>
        <w:rPr>
          <w:b/>
          <w:bCs/>
        </w:rPr>
      </w:r>
    </w:p>
    <w:p>
      <w:pPr>
        <w:pStyle w:val="Standard"/>
        <w:spacing w:lineRule="auto" w:line="360"/>
        <w:jc w:val="both"/>
        <w:rPr/>
      </w:pPr>
      <w:r>
        <w:rPr>
          <w:rFonts w:cs="Times New Roman"/>
          <w:sz w:val="26"/>
          <w:szCs w:val="26"/>
        </w:rPr>
        <w:tab/>
      </w:r>
      <w:r>
        <w:rPr>
          <w:rFonts w:cs="Times New Roman"/>
          <w:shd w:fill="FFFFFF" w:val="clear"/>
        </w:rPr>
        <w:t>Współpraca o charakterze finansowym Gminy Miasta Pionki z organizacjami pozarządowymi oraz innymi podmiotami prowadzącymi działalność pożytku publicznego polegała przede wszystkim na zlecaniu zadań publicznych w formie ich wspierania wraz z udzieleniem dotacji. Zlecanie zadań odbywało się w drodze otwartych konkursów ofert ogłaszanych w trybie pożytku publicznego oraz w procedurze pozakonkursowej, zgodnie z przepisami ustawy z dnia</w:t>
        <w:br/>
        <w:t>24 kwietnia 2003 r., o działalności pożytku publicznego i o wolontariacie (Dz. U. z 2023 r.,</w:t>
        <w:br/>
        <w:t xml:space="preserve">poz. 571). </w:t>
      </w:r>
      <w:r>
        <w:rPr>
          <w:rFonts w:cs="Times New Roman"/>
        </w:rPr>
        <w:tab/>
      </w:r>
    </w:p>
    <w:p>
      <w:pPr>
        <w:pStyle w:val="Standard"/>
        <w:spacing w:lineRule="auto" w:line="360"/>
        <w:jc w:val="both"/>
        <w:rPr/>
      </w:pPr>
      <w:r>
        <w:rPr>
          <w:rFonts w:cs="Times New Roman"/>
          <w:b/>
          <w:bCs/>
        </w:rPr>
        <w:tab/>
        <w:t>W 2023 r. ogłoszono 2 otwarte konkursy</w:t>
      </w:r>
      <w:r>
        <w:rPr>
          <w:rFonts w:cs="Times New Roman"/>
          <w:b/>
          <w:bCs/>
          <w:sz w:val="26"/>
          <w:szCs w:val="26"/>
        </w:rPr>
        <w:t xml:space="preserve"> ofert</w:t>
      </w:r>
      <w:r>
        <w:rPr>
          <w:rFonts w:cs="Times New Roman"/>
          <w:sz w:val="26"/>
          <w:szCs w:val="26"/>
        </w:rPr>
        <w:t>,</w:t>
      </w:r>
      <w:r>
        <w:rPr>
          <w:rFonts w:cs="Times New Roman"/>
        </w:rPr>
        <w:t xml:space="preserve"> w wyniku których do dofinansowania wybrano zadania </w:t>
      </w:r>
      <w:r>
        <w:rPr>
          <w:rFonts w:cs="Times New Roman"/>
          <w:b/>
          <w:bCs/>
        </w:rPr>
        <w:t>12</w:t>
      </w:r>
      <w:r>
        <w:rPr>
          <w:rFonts w:cs="Times New Roman"/>
        </w:rPr>
        <w:t xml:space="preserve"> </w:t>
      </w:r>
      <w:r>
        <w:rPr>
          <w:rFonts w:cs="Times New Roman"/>
          <w:b/>
          <w:bCs/>
        </w:rPr>
        <w:t>podmiotów</w:t>
      </w:r>
      <w:r>
        <w:rPr>
          <w:rFonts w:cs="Times New Roman"/>
        </w:rPr>
        <w:t xml:space="preserve">. Łączna wysokość środków przeznaczonych na dotacje w ramach tych konkursów wynosiła </w:t>
      </w:r>
      <w:r>
        <w:rPr>
          <w:rFonts w:cs="Times New Roman"/>
          <w:b/>
          <w:bCs/>
        </w:rPr>
        <w:t xml:space="preserve">110.000, 00 zł., </w:t>
      </w:r>
      <w:r>
        <w:rPr>
          <w:rFonts w:cs="Times New Roman"/>
        </w:rPr>
        <w:t xml:space="preserve">z tego rozdysponowano kwotę </w:t>
      </w:r>
      <w:r>
        <w:rPr>
          <w:rFonts w:cs="Times New Roman"/>
          <w:b/>
          <w:bCs/>
        </w:rPr>
        <w:t>96.000,00</w:t>
      </w:r>
      <w:r>
        <w:rPr>
          <w:rFonts w:cs="Times New Roman"/>
        </w:rPr>
        <w:t xml:space="preserve"> </w:t>
      </w:r>
      <w:r>
        <w:rPr>
          <w:rFonts w:cs="Times New Roman"/>
          <w:b/>
          <w:bCs/>
          <w:shd w:fill="FFFFFF" w:val="clear"/>
        </w:rPr>
        <w:t>zł.</w:t>
      </w:r>
    </w:p>
    <w:p>
      <w:pPr>
        <w:pStyle w:val="Standard"/>
        <w:spacing w:lineRule="auto" w:line="360"/>
        <w:jc w:val="both"/>
        <w:rPr/>
      </w:pPr>
      <w:r>
        <w:rPr>
          <w:rFonts w:cs="Times New Roman"/>
        </w:rPr>
        <w:t>Udzielono także</w:t>
      </w:r>
      <w:r>
        <w:rPr>
          <w:rFonts w:cs="Times New Roman"/>
          <w:b/>
          <w:bCs/>
        </w:rPr>
        <w:t xml:space="preserve"> 5 dotacji w trybie uproszczonym (pozakonkursowym)</w:t>
      </w:r>
      <w:r>
        <w:rPr>
          <w:rFonts w:cs="Times New Roman"/>
        </w:rPr>
        <w:t xml:space="preserve"> w kwocie </w:t>
      </w:r>
      <w:r>
        <w:rPr>
          <w:rFonts w:cs="Times New Roman"/>
          <w:b/>
          <w:bCs/>
        </w:rPr>
        <w:t xml:space="preserve">18.250,00 </w:t>
      </w:r>
      <w:r>
        <w:rPr>
          <w:rFonts w:cs="Times New Roman"/>
          <w:b/>
          <w:bCs/>
          <w:shd w:fill="FFFFFF" w:val="clear"/>
        </w:rPr>
        <w:t>zł.</w:t>
      </w:r>
      <w:r>
        <w:rPr>
          <w:rFonts w:cs="Times New Roman"/>
          <w:b/>
          <w:bCs/>
        </w:rPr>
        <w:t xml:space="preserve">, </w:t>
      </w:r>
      <w:r>
        <w:rPr>
          <w:rFonts w:cs="Times New Roman"/>
        </w:rPr>
        <w:t xml:space="preserve"> na realizację zadań w zakresie:</w:t>
      </w:r>
    </w:p>
    <w:p>
      <w:pPr>
        <w:pStyle w:val="Standard"/>
        <w:numPr>
          <w:ilvl w:val="0"/>
          <w:numId w:val="2"/>
        </w:numPr>
        <w:spacing w:lineRule="auto" w:line="360"/>
        <w:jc w:val="both"/>
        <w:textAlignment w:val="auto"/>
        <w:rPr/>
      </w:pPr>
      <w:r>
        <w:rPr>
          <w:rFonts w:cs="Times New Roman"/>
        </w:rPr>
        <w:t>Wspierania i upowszechniania kultury fizycznej i sportu,</w:t>
      </w:r>
    </w:p>
    <w:p>
      <w:pPr>
        <w:pStyle w:val="Standard"/>
        <w:numPr>
          <w:ilvl w:val="0"/>
          <w:numId w:val="2"/>
        </w:numPr>
        <w:spacing w:lineRule="auto" w:line="360"/>
        <w:jc w:val="both"/>
        <w:textAlignment w:val="auto"/>
        <w:rPr/>
      </w:pPr>
      <w:r>
        <w:rPr>
          <w:rFonts w:cs="Times New Roman"/>
          <w:color w:val="000000"/>
        </w:rPr>
        <w:t>Ekologia i Ochrona Zwierząt oraz Ochrona Dziedzictwa Przyrodniczego;</w:t>
      </w:r>
    </w:p>
    <w:p>
      <w:pPr>
        <w:pStyle w:val="Standard"/>
        <w:numPr>
          <w:ilvl w:val="0"/>
          <w:numId w:val="2"/>
        </w:numPr>
        <w:spacing w:lineRule="auto" w:line="360"/>
        <w:jc w:val="both"/>
        <w:textAlignment w:val="auto"/>
        <w:rPr/>
      </w:pPr>
      <w:r>
        <w:rPr>
          <w:rFonts w:cs="Times New Roman"/>
          <w:color w:val="000000"/>
        </w:rPr>
        <w:t>Kultura, Sztuka, Ochrona Dóbr Kultury i Dziedzictwa Narodowego.</w:t>
      </w:r>
    </w:p>
    <w:p>
      <w:pPr>
        <w:pStyle w:val="Standard"/>
        <w:spacing w:lineRule="auto" w:line="360"/>
        <w:ind w:left="720"/>
        <w:jc w:val="both"/>
        <w:textAlignment w:val="auto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Standard"/>
        <w:spacing w:lineRule="auto" w:line="360"/>
        <w:ind w:firstLine="360"/>
        <w:jc w:val="both"/>
        <w:rPr/>
      </w:pPr>
      <w:r>
        <w:rPr>
          <w:rFonts w:cs="Times New Roman"/>
        </w:rPr>
        <w:t xml:space="preserve">Ogółem, w 2023 r., w ramach udzielonych dotacji dla organizacji pozarządowych z budżetu Gminy Miasta Pionki przekazano środki finansowe na łączną kwotę </w:t>
      </w:r>
      <w:r>
        <w:rPr>
          <w:rFonts w:cs="Times New Roman"/>
          <w:b/>
          <w:bCs/>
        </w:rPr>
        <w:t xml:space="preserve">113 250,00 </w:t>
      </w:r>
      <w:r>
        <w:rPr>
          <w:rFonts w:cs="Times New Roman"/>
          <w:b/>
          <w:bCs/>
          <w:shd w:fill="FFFFFF" w:val="clear"/>
        </w:rPr>
        <w:t>zł.</w:t>
      </w:r>
      <w:r>
        <w:rPr>
          <w:rFonts w:cs="Times New Roman"/>
          <w:b/>
          <w:bCs/>
        </w:rPr>
        <w:t xml:space="preserve">, </w:t>
      </w:r>
      <w:r>
        <w:rPr>
          <w:rFonts w:cs="Times New Roman"/>
        </w:rPr>
        <w:t>co skutkowało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</w:rPr>
        <w:t xml:space="preserve">podpisaniem </w:t>
      </w:r>
      <w:r>
        <w:rPr>
          <w:rFonts w:cs="Times New Roman"/>
          <w:b/>
          <w:bCs/>
        </w:rPr>
        <w:t xml:space="preserve">18 umów </w:t>
      </w:r>
      <w:r>
        <w:rPr>
          <w:rFonts w:cs="Times New Roman"/>
        </w:rPr>
        <w:t xml:space="preserve">z </w:t>
      </w:r>
      <w:r>
        <w:rPr>
          <w:rFonts w:cs="Times New Roman"/>
          <w:b/>
          <w:bCs/>
        </w:rPr>
        <w:t>15</w:t>
      </w:r>
      <w:r>
        <w:rPr>
          <w:rFonts w:cs="Times New Roman"/>
          <w:b/>
          <w:bCs/>
          <w:shd w:fill="FFFFFF" w:val="clear"/>
        </w:rPr>
        <w:t xml:space="preserve"> podmiotami</w:t>
      </w:r>
      <w:r>
        <w:rPr>
          <w:rFonts w:cs="Times New Roman"/>
        </w:rPr>
        <w:t xml:space="preserve"> działającymi w sferze pożytku publicznego.</w:t>
      </w:r>
      <w:r>
        <w:rPr>
          <w:rFonts w:cs="Times New Roman"/>
          <w:b/>
          <w:bCs/>
        </w:rPr>
        <w:t xml:space="preserve">  </w:t>
      </w:r>
    </w:p>
    <w:p>
      <w:pPr>
        <w:pStyle w:val="Standard"/>
        <w:spacing w:lineRule="auto" w:line="360"/>
        <w:jc w:val="both"/>
        <w:rPr/>
      </w:pPr>
      <w:r>
        <w:rPr/>
      </w:r>
    </w:p>
    <w:p>
      <w:pPr>
        <w:pStyle w:val="Standard"/>
        <w:spacing w:lineRule="auto" w:line="360"/>
        <w:jc w:val="both"/>
        <w:rPr/>
      </w:pPr>
      <w:r>
        <w:rPr/>
      </w:r>
    </w:p>
    <w:p>
      <w:pPr>
        <w:pStyle w:val="Standard"/>
        <w:rPr>
          <w:color w:val="666666"/>
        </w:rPr>
      </w:pPr>
      <w:r>
        <w:rPr>
          <w:b/>
          <w:bCs/>
          <w:color w:val="666666"/>
        </w:rPr>
        <w:t>Zestawienie otwartych konkursów ofert ogłoszonych przez Gminę MiastaPionki w 2023 r.</w:t>
      </w:r>
    </w:p>
    <w:p>
      <w:pPr>
        <w:pStyle w:val="Standard"/>
        <w:rPr>
          <w:b/>
          <w:bCs/>
        </w:rPr>
      </w:pPr>
      <w:r>
        <w:rPr>
          <w:b/>
          <w:bCs/>
        </w:rPr>
      </w:r>
    </w:p>
    <w:p>
      <w:pPr>
        <w:pStyle w:val="Standard"/>
        <w:rPr>
          <w:b/>
          <w:bCs/>
        </w:rPr>
      </w:pPr>
      <w:r>
        <w:rPr>
          <w:b/>
          <w:bCs/>
        </w:rPr>
        <w:t>1) Wspieranie i upowszechniania kultury fizycznej (rozdysponowano kwotę: 75 000,00 zł)</w:t>
      </w:r>
    </w:p>
    <w:tbl>
      <w:tblPr>
        <w:tblW w:w="9660" w:type="dxa"/>
        <w:jc w:val="left"/>
        <w:tblInd w:w="-3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1" w:lastRow="0" w:firstColumn="1" w:lastColumn="0" w:noHBand="0" w:val="04a0"/>
      </w:tblPr>
      <w:tblGrid>
        <w:gridCol w:w="681"/>
        <w:gridCol w:w="3404"/>
        <w:gridCol w:w="3169"/>
        <w:gridCol w:w="2405"/>
      </w:tblGrid>
      <w:tr>
        <w:trPr>
          <w:trHeight w:val="827" w:hRule="atLeast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Podmiot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Zadanie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Kwota dotacji</w:t>
            </w:r>
          </w:p>
        </w:tc>
      </w:tr>
      <w:tr>
        <w:trPr>
          <w:trHeight w:val="591" w:hRule="atLeast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KS „Proch”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bCs/>
              </w:rPr>
              <w:t>Zadanie 1:</w:t>
            </w:r>
            <w:r>
              <w:rPr>
                <w:bCs/>
              </w:rPr>
              <w:t xml:space="preserve"> </w:t>
            </w:r>
            <w:r>
              <w:rPr>
                <w:b/>
              </w:rPr>
              <w:t>,</w:t>
            </w:r>
            <w:r>
              <w:rPr/>
              <w:t>,Organizacja zajęć sportowo – rekreacyjnych w zakresie upowszechniania piłki nożnej wśród dzieci i młodzieży uzdolnionej sportowo z terenu Gminy Miasta Pionki”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32 000,00 zł</w:t>
            </w:r>
          </w:p>
        </w:tc>
      </w:tr>
      <w:tr>
        <w:trPr>
          <w:trHeight w:val="591" w:hRule="atLeast"/>
        </w:trPr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UKS CHAMPION</w:t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bCs/>
              </w:rPr>
              <w:t xml:space="preserve">Zadanie 1: </w:t>
            </w:r>
            <w:r>
              <w:rPr/>
              <w:t>,,Organizacja zajęć sportowo – rekreacyjnych w zakresie upowszechniania piłki nożnej wśród dzieci i młodzieży uzdolnionej sportowo z terenu Gminy Miasta Pionki”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8 000,00 zł</w:t>
            </w:r>
          </w:p>
        </w:tc>
      </w:tr>
      <w:tr>
        <w:trPr>
          <w:trHeight w:val="591" w:hRule="atLeast"/>
        </w:trPr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UKS ,,BETA”</w:t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bCs/>
              </w:rPr>
              <w:t>Zadanie 2</w:t>
            </w:r>
            <w:r>
              <w:rPr/>
              <w:t xml:space="preserve">: ,,Organizacja zajęć sportowo – rekreacyjnych w zakresie upowszechniania </w:t>
            </w:r>
            <w:r>
              <w:rPr>
                <w:b/>
                <w:bCs/>
              </w:rPr>
              <w:t xml:space="preserve">piłki siatkowej </w:t>
            </w:r>
            <w:r>
              <w:rPr/>
              <w:t>wśród dzieci i młodzieży uzdolnionej sportowo   z terenu Gminy Miasta Pionki”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11 000,00 zł</w:t>
            </w:r>
          </w:p>
        </w:tc>
      </w:tr>
      <w:tr>
        <w:trPr>
          <w:trHeight w:val="591" w:hRule="atLeast"/>
        </w:trPr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Pionkowskie Towarzystwo Siatkówki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bCs/>
              </w:rPr>
              <w:t>Zadanie 2</w:t>
            </w:r>
            <w:r>
              <w:rPr/>
              <w:t xml:space="preserve">: ,,Organizacja zajęć sportowo – rekreacyjnych w zakresie upowszechniania </w:t>
            </w:r>
            <w:r>
              <w:rPr>
                <w:b/>
                <w:bCs/>
              </w:rPr>
              <w:t xml:space="preserve">piłki siatkowej </w:t>
            </w:r>
            <w:r>
              <w:rPr/>
              <w:t>wśród dzieci i młodzieży uzdolnionej sportowo   z terenu Gminy Miasta Pionki”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2 000,00 zł</w:t>
            </w:r>
          </w:p>
        </w:tc>
      </w:tr>
      <w:tr>
        <w:trPr>
          <w:trHeight w:val="591" w:hRule="atLeast"/>
        </w:trPr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KS Centrum Tang Soo Do</w:t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bCs/>
                <w:lang w:eastAsia="pl-PL"/>
              </w:rPr>
              <w:t xml:space="preserve">Zadanie 3: </w:t>
            </w:r>
            <w:r>
              <w:rPr>
                <w:lang w:eastAsia="pl-PL"/>
              </w:rPr>
              <w:t xml:space="preserve">,,Organizacja zajęć sportowo – rekreacyjnych w zakresie upowszechniania </w:t>
            </w:r>
            <w:r>
              <w:rPr>
                <w:b/>
                <w:bCs/>
                <w:lang w:eastAsia="pl-PL"/>
              </w:rPr>
              <w:t xml:space="preserve">sportów walki </w:t>
            </w:r>
            <w:r>
              <w:rPr>
                <w:lang w:eastAsia="pl-PL"/>
              </w:rPr>
              <w:t>wśród dzieci i młodzieży uzdolnionej sportowo     z terenu Gminy Miasta Pionki”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10 000,00 zł</w:t>
            </w:r>
          </w:p>
        </w:tc>
      </w:tr>
      <w:tr>
        <w:trPr>
          <w:trHeight w:val="591" w:hRule="atLeast"/>
        </w:trPr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Pionkowski Klub Sportowy SHORIN – RYU KARATE</w:t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bCs/>
                <w:lang w:eastAsia="pl-PL"/>
              </w:rPr>
              <w:t xml:space="preserve">Zadanie 3: </w:t>
            </w:r>
            <w:r>
              <w:rPr>
                <w:lang w:eastAsia="pl-PL"/>
              </w:rPr>
              <w:t xml:space="preserve">,,Organizacja zajęć sportowo – rekreacyjnych w zakresie upowszechniania </w:t>
            </w:r>
            <w:r>
              <w:rPr>
                <w:b/>
                <w:bCs/>
                <w:lang w:eastAsia="pl-PL"/>
              </w:rPr>
              <w:t xml:space="preserve">sportów walki </w:t>
            </w:r>
            <w:r>
              <w:rPr>
                <w:lang w:eastAsia="pl-PL"/>
              </w:rPr>
              <w:t>wśród dzieci i młodzieży uzdolnionej sportowo     z terenu Gminy Miasta Pionki”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2 000,00 zł</w:t>
            </w:r>
          </w:p>
        </w:tc>
      </w:tr>
      <w:tr>
        <w:trPr>
          <w:trHeight w:val="591" w:hRule="atLeast"/>
        </w:trPr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MUKS ,,Delfin”</w:t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bCs/>
              </w:rPr>
              <w:t>Zadanie 4</w:t>
            </w:r>
            <w:r>
              <w:rPr/>
              <w:t xml:space="preserve">: ,,Organizacja zajęć sportowo – rekreacyjnych w zakresie upowszechniania </w:t>
            </w:r>
            <w:r>
              <w:rPr>
                <w:b/>
                <w:bCs/>
              </w:rPr>
              <w:t xml:space="preserve">pływania </w:t>
            </w:r>
            <w:r>
              <w:rPr/>
              <w:t>wśród dzieci i młodzieży uzdolnionej sportowo z terenu Gminy Miasta Pionki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4 000,00 zł</w:t>
            </w:r>
          </w:p>
        </w:tc>
      </w:tr>
      <w:tr>
        <w:trPr>
          <w:trHeight w:val="591" w:hRule="atLeast"/>
        </w:trPr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Pionkowskie Towarzystwo Pływackie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bCs/>
              </w:rPr>
              <w:t>Zadanie 4</w:t>
            </w:r>
            <w:r>
              <w:rPr/>
              <w:t xml:space="preserve">: ,,Organizacja zajęć sportowo – rekreacyjnych w zakresie upowszechniania </w:t>
            </w:r>
            <w:r>
              <w:rPr>
                <w:b/>
                <w:bCs/>
              </w:rPr>
              <w:t xml:space="preserve">pływania </w:t>
            </w:r>
            <w:r>
              <w:rPr/>
              <w:t>wśród dzieci i młodzieży uzdolnionej sportowo z terenu Gminy Miasta Pionki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4 000,00 zł</w:t>
            </w:r>
          </w:p>
        </w:tc>
      </w:tr>
      <w:tr>
        <w:trPr>
          <w:trHeight w:val="845" w:hRule="atLeast"/>
        </w:trPr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nie złożono oferty</w:t>
            </w:r>
          </w:p>
        </w:tc>
        <w:tc>
          <w:tcPr>
            <w:tcW w:w="3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bCs/>
                <w:lang w:eastAsia="pl-PL"/>
              </w:rPr>
              <w:t xml:space="preserve">Zadanie 5: </w:t>
            </w:r>
            <w:r>
              <w:rPr>
                <w:lang w:eastAsia="pl-PL"/>
              </w:rPr>
              <w:t>,,Organizacja zajęć sportowo – rekreacyjnych w zakresie upowszechniania tenisa ziemnego wśród dzieci i młodzieży uzdolnionej sportowo z terenu Gminy Miasta Pionki”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brak dotacji</w:t>
            </w:r>
          </w:p>
        </w:tc>
      </w:tr>
      <w:tr>
        <w:trPr>
          <w:trHeight w:val="845" w:hRule="atLeast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nie złożono oferty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bCs/>
                <w:lang w:eastAsia="pl-PL"/>
              </w:rPr>
              <w:t xml:space="preserve">Zadanie 6: </w:t>
            </w:r>
            <w:r>
              <w:rPr>
                <w:lang w:eastAsia="pl-PL"/>
              </w:rPr>
              <w:t>,,Organizacja zajęć sportowo – rekreacyjnych w zakresie upowszechniania żeglarstwa wśród dzieci i młodzieży uzdolnionej sportowo z terenu Gminy Miasta Pionki”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brak dotacji</w:t>
            </w:r>
          </w:p>
        </w:tc>
      </w:tr>
      <w:tr>
        <w:trPr>
          <w:trHeight w:val="845" w:hRule="atLeast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Stowarzyszenie ASTA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bCs/>
                <w:lang w:eastAsia="pl-PL"/>
              </w:rPr>
              <w:t xml:space="preserve">Zadanie 7: </w:t>
            </w:r>
            <w:r>
              <w:rPr>
                <w:lang w:eastAsia="pl-PL"/>
              </w:rPr>
              <w:t>,,Organizacja zajęć sportowo – rekreacyjnych dla osób niepełnosprawnych (dzieci i młodzieży) z terenu Gminy Miasta Pionki”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2 000,00 zł</w:t>
            </w:r>
          </w:p>
        </w:tc>
      </w:tr>
    </w:tbl>
    <w:p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Standard"/>
        <w:rPr>
          <w:b/>
          <w:bCs/>
        </w:rPr>
      </w:pPr>
      <w:r>
        <w:rPr>
          <w:b/>
          <w:bCs/>
        </w:rPr>
        <w:t xml:space="preserve">2) Edukacyjna opieka wychowawcza (rozdysponowano kwotę: 20 000,00 zł) </w:t>
      </w:r>
    </w:p>
    <w:tbl>
      <w:tblPr>
        <w:tblW w:w="9639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1" w:lastRow="0" w:firstColumn="1" w:lastColumn="0" w:noHBand="0" w:val="04a0"/>
      </w:tblPr>
      <w:tblGrid>
        <w:gridCol w:w="907"/>
        <w:gridCol w:w="2929"/>
        <w:gridCol w:w="3619"/>
        <w:gridCol w:w="2183"/>
      </w:tblGrid>
      <w:tr>
        <w:trPr>
          <w:trHeight w:val="622" w:hRule="atLeast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Podmiot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Zadanie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Kwota dotacji</w:t>
            </w:r>
          </w:p>
        </w:tc>
      </w:tr>
      <w:tr>
        <w:trPr>
          <w:trHeight w:val="1034" w:hRule="atLeast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Parafia Rzymskokatolicka pw. św. Barbary</w:t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color w:val="000000"/>
              </w:rPr>
              <w:t xml:space="preserve">Zadanie 1: </w:t>
            </w:r>
            <w:r>
              <w:rPr>
                <w:rFonts w:cs="Arial"/>
                <w:color w:val="000000"/>
              </w:rPr>
              <w:t>Organizacja czasu wolnego dla dzieci i młodzieży zamieszkałych na terenie Gminy Miasta Pionki w 2023 roku</w:t>
            </w:r>
          </w:p>
          <w:p>
            <w:pPr>
              <w:pStyle w:val="Standard"/>
              <w:rPr/>
            </w:pPr>
            <w:r>
              <w:rPr/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5 000,00 zł</w:t>
            </w:r>
          </w:p>
        </w:tc>
      </w:tr>
      <w:tr>
        <w:trPr>
          <w:trHeight w:val="1035" w:hRule="atLeast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Klub Sportowy Centrum Tang Soo Doo</w:t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color w:val="000000"/>
              </w:rPr>
              <w:t xml:space="preserve">Zadanie 1: </w:t>
            </w:r>
            <w:r>
              <w:rPr>
                <w:rFonts w:cs="Arial"/>
                <w:color w:val="000000"/>
              </w:rPr>
              <w:t>Organizacja czasu wolnego dla dzieci i młodzieży zamieszkałych na terenie Gminy Miasta Pionki w 2023 roku</w:t>
            </w:r>
          </w:p>
          <w:p>
            <w:pPr>
              <w:pStyle w:val="Standard"/>
              <w:rPr/>
            </w:pPr>
            <w:r>
              <w:rPr/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5 000,00 zł</w:t>
            </w:r>
          </w:p>
        </w:tc>
      </w:tr>
      <w:tr>
        <w:trPr>
          <w:trHeight w:val="1034" w:hRule="atLeast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Stowarzyszenie Artystyczne – Muzykalne Pionki</w:t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color w:val="000000"/>
              </w:rPr>
              <w:t>Zadanie 1</w:t>
            </w:r>
            <w:r>
              <w:rPr>
                <w:color w:val="000000"/>
              </w:rPr>
              <w:t xml:space="preserve">: </w:t>
            </w:r>
            <w:r>
              <w:rPr>
                <w:b/>
                <w:bCs/>
                <w:color w:val="000000"/>
              </w:rPr>
              <w:t>,,Organizacja zajęć sportowo – rekreacyjnych w zakresie upowszechniania piłki siatkowej wśród dzieci i młodzieży uzdolnionej sportowo z terenu Gminy</w:t>
            </w:r>
            <w:r>
              <w:rPr>
                <w:b/>
                <w:bCs/>
                <w:color w:val="000000"/>
                <w:spacing w:val="9"/>
              </w:rPr>
              <w:t xml:space="preserve"> </w:t>
            </w:r>
            <w:r>
              <w:rPr>
                <w:b/>
                <w:bCs/>
                <w:color w:val="000000"/>
              </w:rPr>
              <w:t>Miasta Pionki”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5 000,00 zł</w:t>
            </w:r>
          </w:p>
        </w:tc>
      </w:tr>
      <w:tr>
        <w:trPr>
          <w:trHeight w:val="1103" w:hRule="atLeast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Parafia Rzymskokatolicka pw. NMP Królowej Polski</w:t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rPr/>
            </w:pPr>
            <w:r>
              <w:rPr>
                <w:b/>
                <w:color w:val="000000"/>
              </w:rPr>
              <w:t>Zadanie 1</w:t>
            </w:r>
            <w:r>
              <w:rPr>
                <w:color w:val="000000"/>
              </w:rPr>
              <w:t xml:space="preserve">: </w:t>
            </w:r>
            <w:r>
              <w:rPr>
                <w:rFonts w:cs="Arial"/>
                <w:color w:val="000000"/>
              </w:rPr>
              <w:t>Organizacja czasu wolnego dla dzieci i młodzieży zamieszkałych na terenie Gminy Miasta Pionki w 2023 roku</w:t>
            </w:r>
          </w:p>
          <w:p>
            <w:pPr>
              <w:pStyle w:val="Standard"/>
              <w:rPr/>
            </w:pPr>
            <w:r>
              <w:rPr/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5 000,00 zł</w:t>
            </w:r>
          </w:p>
        </w:tc>
      </w:tr>
    </w:tbl>
    <w:p>
      <w:pPr>
        <w:pStyle w:val="Standard"/>
        <w:rPr/>
      </w:pPr>
      <w:r>
        <w:rPr/>
      </w:r>
    </w:p>
    <w:p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Standard"/>
        <w:rPr>
          <w:b/>
          <w:bCs/>
          <w:color w:val="666666"/>
        </w:rPr>
      </w:pPr>
      <w:r>
        <w:rPr>
          <w:b/>
          <w:bCs/>
          <w:color w:val="666666"/>
        </w:rPr>
        <w:t>Zestawienie dotacji udzielonych w trybie uproszczonym (poza konkursem) w 2023 r.</w:t>
      </w:r>
    </w:p>
    <w:p>
      <w:pPr>
        <w:pStyle w:val="Standard"/>
        <w:rPr/>
      </w:pPr>
      <w:r>
        <w:rPr/>
        <w:tab/>
      </w:r>
    </w:p>
    <w:p>
      <w:pPr>
        <w:pStyle w:val="Standard"/>
        <w:rPr>
          <w:b/>
          <w:bCs/>
        </w:rPr>
      </w:pPr>
      <w:r>
        <w:rPr>
          <w:b/>
          <w:bCs/>
        </w:rPr>
        <w:t>1) Kultura, sztuka, ochrona dóbr kultury i dziedzictwa narodowego (rozdysponowano kwotę  6 500,00 zł)</w:t>
      </w:r>
    </w:p>
    <w:tbl>
      <w:tblPr>
        <w:tblW w:w="963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1" w:noVBand="1" w:lastRow="0" w:firstColumn="1" w:lastColumn="0" w:noHBand="0" w:val="04a0"/>
      </w:tblPr>
      <w:tblGrid>
        <w:gridCol w:w="614"/>
        <w:gridCol w:w="3413"/>
        <w:gridCol w:w="3202"/>
        <w:gridCol w:w="2408"/>
      </w:tblGrid>
      <w:tr>
        <w:trPr/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Podmiot</w:t>
            </w:r>
          </w:p>
        </w:tc>
        <w:tc>
          <w:tcPr>
            <w:tcW w:w="3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Zadanie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Kwota dotacji</w:t>
            </w:r>
          </w:p>
        </w:tc>
      </w:tr>
      <w:tr>
        <w:trPr/>
        <w:tc>
          <w:tcPr>
            <w:tcW w:w="6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Ochotnicza Straż Pożarna</w:t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2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rPr/>
            </w:pPr>
            <w:r>
              <w:rPr/>
              <w:t>Festyn Strażacki</w:t>
            </w:r>
          </w:p>
          <w:p>
            <w:pPr>
              <w:pStyle w:val="Standard"/>
              <w:rPr/>
            </w:pPr>
            <w:r>
              <w:rPr/>
            </w: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3 000,00 zł</w:t>
            </w:r>
          </w:p>
        </w:tc>
      </w:tr>
      <w:tr>
        <w:trPr/>
        <w:tc>
          <w:tcPr>
            <w:tcW w:w="6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Ochotnicza Straż Pożarna</w:t>
            </w:r>
          </w:p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2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rPr/>
            </w:pPr>
            <w:r>
              <w:rPr/>
              <w:t>Obchody Narodowego Święta Niepodległości i Święta Strażackiego pod patronatem Burmistrza Miasta Pionki</w:t>
            </w:r>
          </w:p>
          <w:p>
            <w:pPr>
              <w:pStyle w:val="Standard"/>
              <w:rPr/>
            </w:pPr>
            <w:r>
              <w:rPr/>
            </w: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3 500,00 zł</w:t>
            </w:r>
          </w:p>
        </w:tc>
      </w:tr>
    </w:tbl>
    <w:p>
      <w:pPr>
        <w:pStyle w:val="Standard"/>
        <w:rPr/>
      </w:pPr>
      <w:r>
        <w:rPr/>
      </w:r>
    </w:p>
    <w:p>
      <w:pPr>
        <w:pStyle w:val="Standard"/>
        <w:rPr/>
      </w:pPr>
      <w:r>
        <w:rPr>
          <w:rFonts w:cs="Times New Roman"/>
          <w:b/>
          <w:bCs/>
        </w:rPr>
        <w:t xml:space="preserve">2) Ekologia i ochrona zwierząt oraz ochrona dziedzictwa przyrodniczego </w:t>
      </w:r>
      <w:r>
        <w:rPr>
          <w:rFonts w:cs="Times New Roman"/>
          <w:b/>
          <w:bCs/>
          <w:color w:val="000000"/>
        </w:rPr>
        <w:t>(rozdysponowano kwotę 2 250,00 zł)</w:t>
      </w:r>
    </w:p>
    <w:tbl>
      <w:tblPr>
        <w:tblW w:w="963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1" w:noVBand="1" w:lastRow="0" w:firstColumn="1" w:lastColumn="0" w:noHBand="0" w:val="04a0"/>
      </w:tblPr>
      <w:tblGrid>
        <w:gridCol w:w="614"/>
        <w:gridCol w:w="3413"/>
        <w:gridCol w:w="3202"/>
        <w:gridCol w:w="2408"/>
      </w:tblGrid>
      <w:tr>
        <w:trPr/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Podmiot</w:t>
            </w:r>
          </w:p>
        </w:tc>
        <w:tc>
          <w:tcPr>
            <w:tcW w:w="3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Zadanie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Kwota dotacji</w:t>
            </w:r>
          </w:p>
        </w:tc>
      </w:tr>
      <w:tr>
        <w:trPr/>
        <w:tc>
          <w:tcPr>
            <w:tcW w:w="6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Towarzystwo Przyjaciół Zwierząt „Przytul Psiaka”</w:t>
            </w:r>
          </w:p>
        </w:tc>
        <w:tc>
          <w:tcPr>
            <w:tcW w:w="32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rPr/>
            </w:pPr>
            <w:r>
              <w:rPr/>
              <w:t>„</w:t>
            </w:r>
            <w:r>
              <w:rPr/>
              <w:t>Sterylizacja i kastracja bezdomnych kotów z terenu miasta Pionki II”</w:t>
            </w: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1 250,00 zł</w:t>
            </w:r>
          </w:p>
        </w:tc>
      </w:tr>
      <w:tr>
        <w:trPr/>
        <w:tc>
          <w:tcPr>
            <w:tcW w:w="6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Towarzystwo Przyjaciół Zwierząt „Przytul Psiaka”</w:t>
            </w:r>
          </w:p>
        </w:tc>
        <w:tc>
          <w:tcPr>
            <w:tcW w:w="32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rPr/>
            </w:pPr>
            <w:r>
              <w:rPr/>
              <w:t>„</w:t>
            </w:r>
            <w:r>
              <w:rPr/>
              <w:t>Sterylizacja i kastracja bezdomnych kotów z terenu miasta Pionki III”</w:t>
            </w: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1 000,00 zł</w:t>
            </w:r>
          </w:p>
        </w:tc>
      </w:tr>
    </w:tbl>
    <w:p>
      <w:pPr>
        <w:pStyle w:val="Standard"/>
        <w:rPr/>
      </w:pPr>
      <w:r>
        <w:rPr/>
      </w:r>
    </w:p>
    <w:p>
      <w:pPr>
        <w:pStyle w:val="Standard"/>
        <w:rPr>
          <w:b/>
          <w:bCs/>
        </w:rPr>
      </w:pPr>
      <w:r>
        <w:rPr>
          <w:b/>
          <w:bCs/>
        </w:rPr>
      </w:r>
    </w:p>
    <w:p>
      <w:pPr>
        <w:pStyle w:val="Standard"/>
        <w:rPr>
          <w:b/>
          <w:bCs/>
        </w:rPr>
      </w:pPr>
      <w:r>
        <w:rPr>
          <w:b/>
          <w:bCs/>
        </w:rPr>
        <w:t>3) Wspieranie i upowszechniania kultury fizycznej (rozdysponowano kwotę 9 500,00 zł)</w:t>
      </w:r>
    </w:p>
    <w:tbl>
      <w:tblPr>
        <w:tblW w:w="9645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1" w:noVBand="1" w:lastRow="0" w:firstColumn="1" w:lastColumn="0" w:noHBand="0" w:val="04a0"/>
      </w:tblPr>
      <w:tblGrid>
        <w:gridCol w:w="624"/>
        <w:gridCol w:w="3406"/>
        <w:gridCol w:w="3203"/>
        <w:gridCol w:w="2411"/>
      </w:tblGrid>
      <w:tr>
        <w:trPr/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 p.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Podmiot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Zadanie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Kwota dotacji</w:t>
            </w:r>
          </w:p>
        </w:tc>
      </w:tr>
      <w:tr>
        <w:trPr/>
        <w:tc>
          <w:tcPr>
            <w:tcW w:w="6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rPr/>
            </w:pPr>
            <w:r>
              <w:rPr/>
              <w:t>1.</w:t>
            </w:r>
          </w:p>
        </w:tc>
        <w:tc>
          <w:tcPr>
            <w:tcW w:w="34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Pionkowskie Towarzystwo Rowerowe</w:t>
            </w:r>
          </w:p>
        </w:tc>
        <w:tc>
          <w:tcPr>
            <w:tcW w:w="32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rPr/>
            </w:pPr>
            <w:r>
              <w:rPr/>
              <w:t>„</w:t>
            </w:r>
            <w:r>
              <w:rPr/>
              <w:t>Jeżdżę dla zdrowia”</w:t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9 500,00 zł</w:t>
            </w:r>
          </w:p>
        </w:tc>
      </w:tr>
    </w:tbl>
    <w:p>
      <w:pPr>
        <w:pStyle w:val="Standard"/>
        <w:rPr/>
      </w:pPr>
      <w:r>
        <w:rPr/>
      </w:r>
    </w:p>
    <w:p>
      <w:pPr>
        <w:pStyle w:val="Standard"/>
        <w:rPr>
          <w:b/>
          <w:bCs/>
        </w:rPr>
      </w:pPr>
      <w:bookmarkStart w:id="4" w:name="_Toc166491868"/>
      <w:r>
        <w:rPr>
          <w:b/>
          <w:bCs/>
        </w:rPr>
        <w:t>2. Współpraca o charakterze poza finansowym</w:t>
      </w:r>
      <w:bookmarkEnd w:id="4"/>
    </w:p>
    <w:p>
      <w:pPr>
        <w:pStyle w:val="Standard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Gmina Miasta Pionki wspierała także sektor pozarządowy w formach pozafinansowych,           o charakterze:</w:t>
      </w:r>
    </w:p>
    <w:p>
      <w:pPr>
        <w:pStyle w:val="Standard"/>
        <w:numPr>
          <w:ilvl w:val="0"/>
          <w:numId w:val="6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Informacyjnym:</w:t>
      </w:r>
    </w:p>
    <w:p>
      <w:pPr>
        <w:pStyle w:val="Standard"/>
        <w:numPr>
          <w:ilvl w:val="1"/>
          <w:numId w:val="7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udzielała organizacjom, informacji o istnieniu zewnętrznych źródeł finansowania ich działalności statutowej;</w:t>
      </w:r>
    </w:p>
    <w:p>
      <w:pPr>
        <w:pStyle w:val="Standard"/>
        <w:numPr>
          <w:ilvl w:val="1"/>
          <w:numId w:val="7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prowadziła i aktualizowała wykaz organizacji pozarządowych;</w:t>
      </w:r>
    </w:p>
    <w:p>
      <w:pPr>
        <w:pStyle w:val="Standard"/>
        <w:numPr>
          <w:ilvl w:val="1"/>
          <w:numId w:val="7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udzielała porad w zakresie aplikowania o środki finansowe i ich rozliczania.</w:t>
      </w:r>
    </w:p>
    <w:p>
      <w:pPr>
        <w:pStyle w:val="Standard"/>
        <w:numPr>
          <w:ilvl w:val="0"/>
          <w:numId w:val="6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Promocyjnym:</w:t>
      </w:r>
    </w:p>
    <w:p>
      <w:pPr>
        <w:pStyle w:val="Standard"/>
        <w:numPr>
          <w:ilvl w:val="0"/>
          <w:numId w:val="8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promowała działalność podmiotów poprzez publikację informacji na temat ich  działalności w mediach społecznościowych oraz na stronie internetowej Miasta Pionki i Pionkowskiego Ośrodka Sportu i Rekreacji;</w:t>
      </w:r>
    </w:p>
    <w:p>
      <w:pPr>
        <w:pStyle w:val="Standard"/>
        <w:numPr>
          <w:ilvl w:val="0"/>
          <w:numId w:val="8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udzielała rekomendacji organizacjom pozarządowym współpracującym z Gminą Miasta Pionki, ubiegającym się o dofinansowanie ze źródeł zewnętrznych;</w:t>
      </w:r>
    </w:p>
    <w:p>
      <w:pPr>
        <w:pStyle w:val="Standard"/>
        <w:numPr>
          <w:ilvl w:val="0"/>
          <w:numId w:val="8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udzielała Patronatów Burmistrza Miasta, tym podmiotom, które o to zabiegały.</w:t>
      </w:r>
    </w:p>
    <w:p>
      <w:pPr>
        <w:pStyle w:val="Standard"/>
        <w:numPr>
          <w:ilvl w:val="0"/>
          <w:numId w:val="6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Organizacyjnym:</w:t>
      </w:r>
    </w:p>
    <w:p>
      <w:pPr>
        <w:pStyle w:val="Standard"/>
        <w:numPr>
          <w:ilvl w:val="1"/>
          <w:numId w:val="9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nieodpłatnie udostępniała obiekty gminne do realizacji zadań, będących treścią umowy na wsparcie zadania publicznego, zleconego do realizacji przez Gminę Miasta Pionki;</w:t>
      </w:r>
    </w:p>
    <w:p>
      <w:pPr>
        <w:pStyle w:val="Standard"/>
        <w:numPr>
          <w:ilvl w:val="1"/>
          <w:numId w:val="9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realizowała wspólne projekty, inicjatywy i przedsięwzięcia na rzecz społeczności lokalnej, z zakresu m. in. kultury, ekologii oraz sportu poprzez wsparcie rzeczowe </w:t>
        <w:br/>
        <w:t>i finansowe.</w:t>
      </w:r>
    </w:p>
    <w:p>
      <w:pPr>
        <w:pStyle w:val="Standard"/>
        <w:numPr>
          <w:ilvl w:val="0"/>
          <w:numId w:val="6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Pomoc techniczna:</w:t>
      </w:r>
    </w:p>
    <w:p>
      <w:pPr>
        <w:pStyle w:val="Standard"/>
        <w:numPr>
          <w:ilvl w:val="1"/>
          <w:numId w:val="10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pomagała w miarę możliwości w organizowaniu środków transportu do przewozu osób i materiałów, związanych w jakiś sposób z wykonywaniem zadań publicznych zlecanych przez Gminę Miasta Pionki;</w:t>
      </w:r>
    </w:p>
    <w:p>
      <w:pPr>
        <w:pStyle w:val="Standard"/>
        <w:numPr>
          <w:ilvl w:val="1"/>
          <w:numId w:val="10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udostępniała, w miarę możliwości, pomieszczenia lub użyczała sprzęt służący </w:t>
        <w:br/>
        <w:t>do realizacji zadań publicznych zlecanych przez Gminę Miasta Pionki;</w:t>
      </w:r>
    </w:p>
    <w:p>
      <w:pPr>
        <w:pStyle w:val="Standard"/>
        <w:numPr>
          <w:ilvl w:val="1"/>
          <w:numId w:val="10"/>
        </w:numPr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pomagała w tworzeniu i dystrybucji materiałów promocyjnych, wykonywała projekty graficzne plakatów, dyplomów i tym podobnych materiałów służących promocji zadań realizowanych przez organizacje pozarządowe na rzecz gminy.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</w:p>
    <w:p>
      <w:pPr>
        <w:pStyle w:val="Standard"/>
        <w:numPr>
          <w:ilvl w:val="0"/>
          <w:numId w:val="4"/>
        </w:numPr>
        <w:rPr>
          <w:b/>
          <w:bCs/>
          <w:color w:val="2F5496"/>
          <w:sz w:val="32"/>
          <w:szCs w:val="32"/>
          <w:u w:val="single"/>
        </w:rPr>
      </w:pPr>
      <w:bookmarkStart w:id="5" w:name="_Toc166491869"/>
      <w:r>
        <w:rPr>
          <w:b/>
          <w:bCs/>
          <w:color w:val="2F5496"/>
          <w:sz w:val="32"/>
          <w:szCs w:val="32"/>
          <w:u w:val="single"/>
        </w:rPr>
        <w:t>Podsumowanie</w:t>
      </w:r>
      <w:bookmarkEnd w:id="5"/>
    </w:p>
    <w:p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Program Współpracy był wyrazem polityki prospołecznej władz Miasta Pionki wobec organizacji pozarządowych, zmierzającej do zapewnienia im możliwości rozwoju i działania na terenie Gminy Miasta Pionki. Współpraca Gminy z organizacjami pozarządowymi oraz innymi podmiotami odbywała się w oparciu o zasady pomocniczości, suwerenności stron, partnerstwa, efektywności, uczciwej konkurencji, jawności i wzajemnego poszanowania interesów partnerów współpracy.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 xml:space="preserve">Gmina Miasta Pionki, zgodnie z Programem Współpracy wspierała zadania publiczne </w:t>
        <w:br/>
        <w:t>do wysokości 90% wartości realizowanego zadania. Organizacje pozarządowe wniosły niemały wkład w realizację poszczególnych projektów. Z jednej strony było to zaangażowanie</w:t>
        <w:br/>
        <w:t xml:space="preserve">i kreatywność, z drugiej zaś wymierne środki finansowe, a także wkład pozafinansowy, czyli głównie aktywność członków organizacji i wolontariuszy. 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Działania Gminy Miasta Pionki nakierowane były w szczególności na tworzenie warunków do zwiększenia aktywności społecznej, uzupełnienie działań Gminy w zakresie nie obejmowanym przez struktury samorządowe, a także na zwiększenie udziału mieszkańców w rozwiązywaniu lokalnych problemów.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Gmina Miasta Pionki współpracuje z organizacjami pozarządowymi na wielu płaszczyznach związanych z rozwojem regionu oraz wspieraniem działań na rzecz różnych grup społecznych. Pozytywne nastawienie, chęć współpracy samorządu, pozytywnie wpływają na kontakty</w:t>
        <w:br/>
        <w:t xml:space="preserve">i wzajemne relacje z organizacjami społecznymi.   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 xml:space="preserve">Powyższa współpraca była realizowana poprzez Pionkowski Ośrodek Sportu i Rekreacji </w:t>
        <w:br/>
        <w:t>oraz Wydział Organizacyjny i Spraw Obywatelskich Urzędu Miasta Pionki. Wszelaka pomoc organizacjom pozarządowym świadczona była nieodpłatnie.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Standard"/>
        <w:spacing w:lineRule="auto" w:line="3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W 2023 roku na terenie Gminy Miasta Pionki działało ponad 40 organizacji pozarządowych, w tym m.in.: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  <w:u w:val="single"/>
        </w:rPr>
        <w:t>Organizacje o charakterze pomocowo-charytatywnym:</w:t>
      </w:r>
    </w:p>
    <w:p>
      <w:pPr>
        <w:pStyle w:val="Standard"/>
        <w:numPr>
          <w:ilvl w:val="0"/>
          <w:numId w:val="125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Katolickie Stowarzyszenie Niepełnosprawnych Diecezji Radomskiej/Oddział Pionki,</w:t>
      </w:r>
    </w:p>
    <w:p>
      <w:pPr>
        <w:pStyle w:val="Standard"/>
        <w:numPr>
          <w:ilvl w:val="0"/>
          <w:numId w:val="126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Stowarzyszenie „Przyjazny Dom”</w:t>
      </w:r>
    </w:p>
    <w:p>
      <w:pPr>
        <w:pStyle w:val="Standard"/>
        <w:numPr>
          <w:ilvl w:val="0"/>
          <w:numId w:val="127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Towarzystwo Przyjaciół Zwierząt „Przytul Psiaka”</w:t>
      </w:r>
    </w:p>
    <w:p>
      <w:pPr>
        <w:pStyle w:val="Standard"/>
        <w:numPr>
          <w:ilvl w:val="0"/>
          <w:numId w:val="128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Pionkowskie Towarzystwo Opieki nad Zwierzętami,</w:t>
      </w:r>
    </w:p>
    <w:p>
      <w:pPr>
        <w:pStyle w:val="Standard"/>
        <w:numPr>
          <w:ilvl w:val="0"/>
          <w:numId w:val="129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Ochotnicza Straż Pożarna w Pionkach,</w:t>
      </w:r>
    </w:p>
    <w:p>
      <w:pPr>
        <w:pStyle w:val="Default"/>
        <w:numPr>
          <w:ilvl w:val="0"/>
          <w:numId w:val="130"/>
        </w:numPr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Stowarzyszenie „Przyjazny Dom” – stowarzyszenie zwykłe </w:t>
      </w:r>
    </w:p>
    <w:p>
      <w:pPr>
        <w:pStyle w:val="Standard"/>
        <w:spacing w:lineRule="auto" w:line="3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  <w:u w:val="single"/>
        </w:rPr>
        <w:t>Organizacje o charakterze narodowo–patriotycznym:</w:t>
      </w:r>
    </w:p>
    <w:p>
      <w:pPr>
        <w:pStyle w:val="Standard"/>
        <w:numPr>
          <w:ilvl w:val="0"/>
          <w:numId w:val="131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Związek Harcerstwa Rzeczypospolitej Okręg Staropolski w Pionkach,</w:t>
      </w:r>
    </w:p>
    <w:p>
      <w:pPr>
        <w:pStyle w:val="Standard"/>
        <w:numPr>
          <w:ilvl w:val="0"/>
          <w:numId w:val="132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Światowy Związek Żołnierzy Armii Krajowej Koło w Pionkach,</w:t>
      </w:r>
    </w:p>
    <w:p>
      <w:pPr>
        <w:pStyle w:val="Standard"/>
        <w:numPr>
          <w:ilvl w:val="0"/>
          <w:numId w:val="133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Związek Kombatantów RP i Byłych Więźniów Politycznych,</w:t>
      </w:r>
    </w:p>
    <w:p>
      <w:pPr>
        <w:pStyle w:val="Standard"/>
        <w:numPr>
          <w:ilvl w:val="0"/>
          <w:numId w:val="134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Polskie Towarzystwo Historyczne/Oddział Pionki,</w:t>
      </w:r>
    </w:p>
    <w:p>
      <w:pPr>
        <w:pStyle w:val="Standard"/>
        <w:numPr>
          <w:ilvl w:val="0"/>
          <w:numId w:val="135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Stowarzyszenie Ochotniczy Oddział Kawalerii w Barwach 22 Pułku Ułanów Podkarpackich,</w:t>
      </w:r>
    </w:p>
    <w:p>
      <w:pPr>
        <w:pStyle w:val="Standard"/>
        <w:numPr>
          <w:ilvl w:val="0"/>
          <w:numId w:val="0"/>
        </w:numPr>
        <w:spacing w:lineRule="auto" w:line="360"/>
        <w:ind w:hanging="0" w:left="720"/>
        <w:jc w:val="both"/>
        <w:textAlignment w:val="auto"/>
        <w:rPr>
          <w:rFonts w:cs="Times New Roman"/>
        </w:rPr>
      </w:pPr>
      <w:r>
        <w:rPr>
          <w:rFonts w:cs="Times New Roman"/>
        </w:rPr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  <w:u w:val="single"/>
        </w:rPr>
        <w:t>Organizacje i stowarzyszenia o charakterze sportowo – rekreacyjnym:</w:t>
      </w:r>
    </w:p>
    <w:p>
      <w:pPr>
        <w:pStyle w:val="Standard"/>
        <w:numPr>
          <w:ilvl w:val="0"/>
          <w:numId w:val="136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KS ,,PROCH”,</w:t>
      </w:r>
    </w:p>
    <w:p>
      <w:pPr>
        <w:pStyle w:val="Standard"/>
        <w:numPr>
          <w:ilvl w:val="0"/>
          <w:numId w:val="137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Międzyszkolny Uczniowski Klub Sportowy ,,DELFIN”,</w:t>
      </w:r>
    </w:p>
    <w:p>
      <w:pPr>
        <w:pStyle w:val="Standard"/>
        <w:numPr>
          <w:ilvl w:val="0"/>
          <w:numId w:val="138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UKS ,,BETA”,</w:t>
      </w:r>
    </w:p>
    <w:p>
      <w:pPr>
        <w:pStyle w:val="Standard"/>
        <w:numPr>
          <w:ilvl w:val="0"/>
          <w:numId w:val="139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UKS ,,CHAMPION”,  </w:t>
      </w:r>
    </w:p>
    <w:p>
      <w:pPr>
        <w:pStyle w:val="Standard"/>
        <w:numPr>
          <w:ilvl w:val="0"/>
          <w:numId w:val="140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Pionkowskie Stowarzyszenie Tenisowe ,,Challenge”,</w:t>
      </w:r>
    </w:p>
    <w:p>
      <w:pPr>
        <w:pStyle w:val="Standard"/>
        <w:numPr>
          <w:ilvl w:val="0"/>
          <w:numId w:val="141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Pionkowskie Towarzystwo Siatkówki,</w:t>
      </w:r>
    </w:p>
    <w:p>
      <w:pPr>
        <w:pStyle w:val="Standard"/>
        <w:numPr>
          <w:ilvl w:val="0"/>
          <w:numId w:val="142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Stowarzyszenie „Pionkowskie Morsy i Sportowcy”</w:t>
      </w:r>
    </w:p>
    <w:p>
      <w:pPr>
        <w:pStyle w:val="Standard"/>
        <w:numPr>
          <w:ilvl w:val="0"/>
          <w:numId w:val="143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Klub Sportowy Centrum TANG SOO DO,</w:t>
      </w:r>
    </w:p>
    <w:p>
      <w:pPr>
        <w:pStyle w:val="Standard"/>
        <w:numPr>
          <w:ilvl w:val="0"/>
          <w:numId w:val="144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Stowarzyszenie Motocyklowe Pionki,</w:t>
      </w:r>
    </w:p>
    <w:p>
      <w:pPr>
        <w:pStyle w:val="Standard"/>
        <w:numPr>
          <w:ilvl w:val="0"/>
          <w:numId w:val="145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Klub Żeglarski Pionki,</w:t>
      </w:r>
    </w:p>
    <w:p>
      <w:pPr>
        <w:pStyle w:val="Standard"/>
        <w:numPr>
          <w:ilvl w:val="0"/>
          <w:numId w:val="146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Pionkowskie Towarzystwo Pływackie,</w:t>
      </w:r>
    </w:p>
    <w:p>
      <w:pPr>
        <w:pStyle w:val="Standard"/>
        <w:numPr>
          <w:ilvl w:val="0"/>
          <w:numId w:val="147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UKS ,,Daniel”,</w:t>
      </w:r>
    </w:p>
    <w:p>
      <w:pPr>
        <w:pStyle w:val="Standard"/>
        <w:numPr>
          <w:ilvl w:val="0"/>
          <w:numId w:val="148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Stowarzyszenie Tenisowe ,,Winner”,</w:t>
      </w:r>
    </w:p>
    <w:p>
      <w:pPr>
        <w:pStyle w:val="Standard"/>
        <w:numPr>
          <w:ilvl w:val="0"/>
          <w:numId w:val="149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Polski Związek Wędkarski Koło Pionki</w:t>
      </w:r>
    </w:p>
    <w:p>
      <w:pPr>
        <w:pStyle w:val="Standard"/>
        <w:numPr>
          <w:ilvl w:val="0"/>
          <w:numId w:val="150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Pionkowskie Towarzystwo Rowerowe,</w:t>
      </w:r>
    </w:p>
    <w:p>
      <w:pPr>
        <w:pStyle w:val="Standard"/>
        <w:numPr>
          <w:ilvl w:val="0"/>
          <w:numId w:val="151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pl-PL"/>
        </w:rPr>
        <w:t>Pionkowski Klub Sportowy SHORIN – RYU KARATE,</w:t>
      </w:r>
    </w:p>
    <w:p>
      <w:pPr>
        <w:pStyle w:val="Standard"/>
        <w:numPr>
          <w:ilvl w:val="0"/>
          <w:numId w:val="152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pl-PL"/>
        </w:rPr>
        <w:t>KS TopSpin Pionki,</w:t>
      </w:r>
    </w:p>
    <w:p>
      <w:pPr>
        <w:pStyle w:val="Standard"/>
        <w:numPr>
          <w:ilvl w:val="0"/>
          <w:numId w:val="153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Akademia Sportu Pionki</w:t>
      </w:r>
    </w:p>
    <w:p>
      <w:pPr>
        <w:pStyle w:val="Standard"/>
        <w:numPr>
          <w:ilvl w:val="0"/>
          <w:numId w:val="154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pl-PL"/>
        </w:rPr>
        <w:t>TKKF Pionki.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  <w:u w:val="single"/>
        </w:rPr>
        <w:t>Organizacje i stowarzyszenia o charakterze kulturalno-oświatowym:</w:t>
      </w:r>
    </w:p>
    <w:p>
      <w:pPr>
        <w:pStyle w:val="Standard"/>
        <w:numPr>
          <w:ilvl w:val="0"/>
          <w:numId w:val="155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Stowarzyszenie SUMUS,</w:t>
      </w:r>
    </w:p>
    <w:p>
      <w:pPr>
        <w:pStyle w:val="Standard"/>
        <w:numPr>
          <w:ilvl w:val="0"/>
          <w:numId w:val="156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Stowarzyszenie Miasto Winyli „Pronit”</w:t>
      </w:r>
    </w:p>
    <w:p>
      <w:pPr>
        <w:pStyle w:val="Standard"/>
        <w:numPr>
          <w:ilvl w:val="0"/>
          <w:numId w:val="157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Stowarzyszenie ASTA,</w:t>
      </w:r>
    </w:p>
    <w:p>
      <w:pPr>
        <w:pStyle w:val="Standard"/>
        <w:numPr>
          <w:ilvl w:val="0"/>
          <w:numId w:val="158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Stowarzyszenie Seniorów „AGAT”,</w:t>
      </w:r>
    </w:p>
    <w:p>
      <w:pPr>
        <w:pStyle w:val="Standard"/>
        <w:numPr>
          <w:ilvl w:val="0"/>
          <w:numId w:val="159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Stowarzyszenie Seniorów ,,Złota Jesień”,</w:t>
      </w:r>
    </w:p>
    <w:p>
      <w:pPr>
        <w:pStyle w:val="Standard"/>
        <w:numPr>
          <w:ilvl w:val="0"/>
          <w:numId w:val="160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Stowarzyszenie ,,Pro-IMPULS”,</w:t>
      </w:r>
    </w:p>
    <w:p>
      <w:pPr>
        <w:pStyle w:val="Standard"/>
        <w:numPr>
          <w:ilvl w:val="0"/>
          <w:numId w:val="161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Społeczne Ognisko Artystyczne,</w:t>
      </w:r>
      <w:bookmarkStart w:id="6" w:name="_Hlk39824512"/>
      <w:bookmarkEnd w:id="6"/>
    </w:p>
    <w:p>
      <w:pPr>
        <w:pStyle w:val="Standard"/>
        <w:numPr>
          <w:ilvl w:val="0"/>
          <w:numId w:val="162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Stowarzyszenie Seniorów ,,Barwy Życia Razem”,</w:t>
      </w:r>
    </w:p>
    <w:p>
      <w:pPr>
        <w:pStyle w:val="Standard"/>
        <w:numPr>
          <w:ilvl w:val="0"/>
          <w:numId w:val="163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Stowarzyszenie Seniorów ,,KONTRAST”,</w:t>
      </w:r>
    </w:p>
    <w:p>
      <w:pPr>
        <w:pStyle w:val="Standard"/>
        <w:numPr>
          <w:ilvl w:val="0"/>
          <w:numId w:val="164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Stowarzyszenie Artystyczne „Muzykalne Pionki”</w:t>
      </w:r>
    </w:p>
    <w:p>
      <w:pPr>
        <w:pStyle w:val="Standard"/>
        <w:numPr>
          <w:ilvl w:val="0"/>
          <w:numId w:val="165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Stowarzyszenie Pszczelarzy Puszczy Kozienickiej.</w:t>
      </w:r>
    </w:p>
    <w:p>
      <w:pPr>
        <w:pStyle w:val="Footnote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  <w:u w:val="single"/>
        </w:rPr>
        <w:t>Organizacje i stowarzyszenia promocji i ochrony zdrowia:</w:t>
      </w:r>
    </w:p>
    <w:p>
      <w:pPr>
        <w:pStyle w:val="Footnote"/>
        <w:numPr>
          <w:ilvl w:val="0"/>
          <w:numId w:val="166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Stowarzyszenie Klub ,,Amazonki” w Pionkach,</w:t>
      </w:r>
    </w:p>
    <w:p>
      <w:pPr>
        <w:pStyle w:val="Standard"/>
        <w:numPr>
          <w:ilvl w:val="0"/>
          <w:numId w:val="167"/>
        </w:numPr>
        <w:spacing w:lineRule="auto" w:line="36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Stowarzyszenie Klub Abstynenta Wzajemnej Pomocy ,,Azyl”.</w:t>
      </w:r>
    </w:p>
    <w:p>
      <w:pPr>
        <w:pStyle w:val="Normal"/>
        <w:bidi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</w:r>
    </w:p>
    <w:p>
      <w:pPr>
        <w:pStyle w:val="Normal"/>
        <w:jc w:val="both"/>
        <w:rPr>
          <w:rFonts w:cs="Liberation Serif;Times New Roman"/>
          <w:color w:val="000000"/>
          <w:sz w:val="24"/>
          <w:szCs w:val="24"/>
        </w:rPr>
      </w:pPr>
      <w:r>
        <w:rPr>
          <w:rFonts w:cs="Liberation Serif;Times New Roman"/>
          <w:color w:val="000000"/>
          <w:sz w:val="24"/>
          <w:szCs w:val="24"/>
        </w:rP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266700</wp:posOffset>
            </wp:positionH>
            <wp:positionV relativeFrom="paragraph">
              <wp:posOffset>80010</wp:posOffset>
            </wp:positionV>
            <wp:extent cx="1638935" cy="1675130"/>
            <wp:effectExtent l="0" t="0" r="0" b="0"/>
            <wp:wrapSquare wrapText="largest"/>
            <wp:docPr id="3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-42" t="-42" r="-42" b="-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167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both"/>
        <w:rPr/>
      </w:pPr>
      <w:r>
        <w:rPr>
          <w:rFonts w:cs="Liberation Serif;Times New Roman"/>
          <w:sz w:val="24"/>
          <w:szCs w:val="24"/>
        </w:rPr>
        <w:tab/>
        <w:tab/>
        <w:tab/>
        <w:tab/>
        <w:tab/>
      </w:r>
      <w:r>
        <w:rPr>
          <w:rFonts w:cs="Liberation Serif;Times New Roman"/>
          <w:b/>
          <w:bCs/>
          <w:sz w:val="24"/>
          <w:szCs w:val="24"/>
        </w:rPr>
        <w:t>BURMISTRZ MIASTA</w:t>
      </w:r>
    </w:p>
    <w:p>
      <w:pPr>
        <w:pStyle w:val="Normal"/>
        <w:widowControl w:val="false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pacing w:lineRule="auto" w:line="360" w:before="0" w:after="0"/>
        <w:jc w:val="both"/>
        <w:rPr/>
      </w:pPr>
      <w:r>
        <w:rPr>
          <w:rFonts w:eastAsia="Times New Roman" w:cs="Liberation Serif;Times New Roman"/>
          <w:b w:val="false"/>
          <w:bCs w:val="false"/>
          <w:shadow w:val="false"/>
          <w:sz w:val="20"/>
          <w:szCs w:val="20"/>
          <w:lang w:eastAsia="pl-PL"/>
        </w:rPr>
        <w:tab/>
        <w:tab/>
        <w:tab/>
        <w:tab/>
        <w:tab/>
        <w:t xml:space="preserve">       </w:t>
      </w:r>
      <w:r>
        <w:rPr>
          <w:rFonts w:eastAsia="Times New Roman" w:cs="Liberation Serif;Times New Roman"/>
          <w:b w:val="false"/>
          <w:bCs w:val="false"/>
          <w:i/>
          <w:iCs/>
          <w:shadow w:val="false"/>
          <w:sz w:val="20"/>
          <w:szCs w:val="20"/>
          <w:lang w:eastAsia="pl-PL"/>
        </w:rPr>
        <w:t>(-) Łukasz Miśkiewicz</w:t>
      </w:r>
    </w:p>
    <w:p>
      <w:pPr>
        <w:pStyle w:val="Normal"/>
        <w:spacing w:lineRule="auto" w:line="360"/>
        <w:jc w:val="both"/>
        <w:rPr>
          <w:rFonts w:eastAsia="Arial Unicode MS" w:cs="Tahoma"/>
          <w:b w:val="false"/>
          <w:bCs w:val="false"/>
          <w:sz w:val="24"/>
          <w:szCs w:val="24"/>
        </w:rPr>
      </w:pPr>
      <w:r>
        <w:rPr>
          <w:rFonts w:eastAsia="Arial Unicode MS" w:cs="Tahoma"/>
          <w:b w:val="false"/>
          <w:bCs w:val="false"/>
          <w:sz w:val="24"/>
          <w:szCs w:val="24"/>
        </w:rPr>
      </w:r>
    </w:p>
    <w:p>
      <w:pPr>
        <w:pStyle w:val="Normal"/>
        <w:jc w:val="both"/>
        <w:rPr>
          <w:rFonts w:ascii="Liberation Serif;Times New Roman" w:hAnsi="Liberation Serif;Times New Roman" w:eastAsia="Arial Unicode MS" w:cs="Liberation Serif;Times New Roman"/>
          <w:b w:val="false"/>
          <w:bCs w:val="false"/>
          <w:i/>
          <w:i/>
          <w:iCs/>
          <w:sz w:val="20"/>
          <w:szCs w:val="20"/>
        </w:rPr>
      </w:pPr>
      <w:r>
        <w:rPr>
          <w:rFonts w:eastAsia="Arial Unicode MS" w:cs="Liberation Serif;Times New Roman" w:ascii="Liberation Serif;Times New Roman" w:hAnsi="Liberation Serif;Times New Roman"/>
          <w:b w:val="false"/>
          <w:bCs w:val="false"/>
          <w:i/>
          <w:iCs/>
          <w:sz w:val="20"/>
          <w:szCs w:val="20"/>
        </w:rPr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b w:val="false"/>
          <w:bCs w:val="false"/>
          <w:i/>
          <w:i/>
          <w:iCs/>
          <w:sz w:val="20"/>
          <w:szCs w:val="20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i/>
          <w:iCs/>
          <w:sz w:val="20"/>
          <w:szCs w:val="20"/>
        </w:rPr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b w:val="false"/>
          <w:bCs w:val="false"/>
          <w:i/>
          <w:i/>
          <w:iCs/>
          <w:sz w:val="20"/>
          <w:szCs w:val="20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i/>
          <w:iCs/>
          <w:sz w:val="20"/>
          <w:szCs w:val="20"/>
        </w:rPr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b w:val="false"/>
          <w:bCs w:val="false"/>
          <w:i/>
          <w:i/>
          <w:iCs/>
          <w:sz w:val="20"/>
          <w:szCs w:val="20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i/>
          <w:iCs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iCs/>
          <w:sz w:val="18"/>
          <w:szCs w:val="18"/>
        </w:rPr>
      </w:r>
    </w:p>
    <w:p>
      <w:pPr>
        <w:pStyle w:val="Standard"/>
        <w:spacing w:lineRule="auto" w:line="360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</w:r>
    </w:p>
    <w:p>
      <w:pPr>
        <w:pStyle w:val="Standard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</w:r>
    </w:p>
    <w:sectPr>
      <w:footerReference w:type="default" r:id="rId4"/>
      <w:type w:val="nextPage"/>
      <w:pgSz w:w="11906" w:h="16838"/>
      <w:pgMar w:left="1134" w:right="1134" w:gutter="0" w:header="0" w:top="1134" w:footer="708" w:bottom="1134"/>
      <w:pgNumType w:start="1"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27741406"/>
    </w:sdtPr>
    <w:sdtContent>
      <w:p>
        <w:pPr>
          <w:pStyle w:val="Footer"/>
          <w:pBdr>
            <w:top w:val="single" w:sz="4" w:space="1" w:color="D9D9D9" w:themeColor="light1" w:themeShade="d9"/>
          </w:pBdr>
          <w:jc w:val="right"/>
          <w:rPr>
            <w:color w:themeColor="accent1" w:val="4472C4"/>
          </w:rPr>
        </w:pPr>
        <w:r>
          <w:rPr>
            <w:color w:themeColor="accent1" w:val="4472C4"/>
          </w:rPr>
          <w:fldChar w:fldCharType="begin"/>
        </w:r>
        <w:r>
          <w:rPr>
            <w:color w:themeColor="accent1" w:val="4472C4"/>
          </w:rPr>
          <w:instrText xml:space="preserve"> PAGE </w:instrText>
        </w:r>
        <w:r>
          <w:rPr>
            <w:color w:themeColor="accent1" w:val="4472C4"/>
          </w:rPr>
          <w:fldChar w:fldCharType="separate"/>
        </w:r>
        <w:r>
          <w:rPr>
            <w:color w:themeColor="accent1" w:val="4472C4"/>
          </w:rPr>
          <w:t>13</w:t>
        </w:r>
        <w:r>
          <w:rPr>
            <w:color w:themeColor="accent1" w:val="4472C4"/>
          </w:rPr>
          <w:fldChar w:fldCharType="end"/>
        </w:r>
        <w:r>
          <w:rPr>
            <w:color w:themeColor="accent1" w:val="4472C4"/>
          </w:rPr>
          <w:t xml:space="preserve"> </w:t>
        </w:r>
        <w:r>
          <w:rPr>
            <w:color w:themeColor="accent1" w:val="4472C4"/>
          </w:rPr>
          <w:t xml:space="preserve">| </w:t>
        </w:r>
        <w:r>
          <w:rPr>
            <w:color w:themeColor="accent1" w:val="4472C4"/>
            <w:spacing w:val="60"/>
          </w:rPr>
          <w:t>Strona</w:t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0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3">
      <w:start w:val="0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0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5">
      <w:start w:val="0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6">
      <w:start w:val="0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0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8">
      <w:start w:val="0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9"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0"/>
        </w:tabs>
        <w:ind w:left="884" w:hanging="360"/>
      </w:pPr>
      <w:rPr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44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604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64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324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684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044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404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764" w:hanging="360"/>
      </w:pPr>
      <w:rPr>
        <w:b/>
        <w:bCs/>
      </w:r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0"/>
        </w:tabs>
        <w:ind w:left="884" w:hanging="360"/>
      </w:pPr>
      <w:rPr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44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604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64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324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684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044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404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764" w:hanging="360"/>
      </w:pPr>
      <w:rPr>
        <w:b/>
        <w:bCs/>
      </w:r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0"/>
        </w:tabs>
        <w:ind w:left="884" w:hanging="360"/>
      </w:pPr>
      <w:rPr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44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604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64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324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684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044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404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764" w:hanging="360"/>
      </w:pPr>
      <w:rPr>
        <w:b/>
        <w:bCs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3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3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3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4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4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4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4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4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4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4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4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4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4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5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5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5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5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5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5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5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5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5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5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6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6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6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6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6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6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6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6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6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6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7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7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7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7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7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7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7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7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7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7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8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8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8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8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8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8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8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8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8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8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11"/>
    <w:lvlOverride w:ilvl="0">
      <w:startOverride w:val="1"/>
    </w:lvlOverride>
  </w:num>
  <w:num w:numId="91">
    <w:abstractNumId w:val="11"/>
  </w:num>
  <w:num w:numId="92">
    <w:abstractNumId w:val="11"/>
  </w:num>
  <w:num w:numId="93">
    <w:abstractNumId w:val="14"/>
    <w:lvlOverride w:ilvl="0">
      <w:startOverride w:val="1"/>
    </w:lvlOverride>
  </w:num>
  <w:num w:numId="94">
    <w:abstractNumId w:val="14"/>
  </w:num>
  <w:num w:numId="95">
    <w:abstractNumId w:val="14"/>
  </w:num>
  <w:num w:numId="96">
    <w:abstractNumId w:val="14"/>
  </w:num>
  <w:num w:numId="97">
    <w:abstractNumId w:val="14"/>
  </w:num>
  <w:num w:numId="98">
    <w:abstractNumId w:val="14"/>
  </w:num>
  <w:num w:numId="99">
    <w:abstractNumId w:val="14"/>
  </w:num>
  <w:num w:numId="100">
    <w:abstractNumId w:val="14"/>
  </w:num>
  <w:num w:numId="101">
    <w:abstractNumId w:val="14"/>
  </w:num>
  <w:num w:numId="102">
    <w:abstractNumId w:val="14"/>
  </w:num>
  <w:num w:numId="103">
    <w:abstractNumId w:val="14"/>
  </w:num>
  <w:num w:numId="104">
    <w:abstractNumId w:val="14"/>
  </w:num>
  <w:num w:numId="105">
    <w:abstractNumId w:val="14"/>
  </w:num>
  <w:num w:numId="106">
    <w:abstractNumId w:val="14"/>
  </w:num>
  <w:num w:numId="107">
    <w:abstractNumId w:val="14"/>
  </w:num>
  <w:num w:numId="108">
    <w:abstractNumId w:val="14"/>
  </w:num>
  <w:num w:numId="109">
    <w:abstractNumId w:val="14"/>
  </w:num>
  <w:num w:numId="110">
    <w:abstractNumId w:val="14"/>
  </w:num>
  <w:num w:numId="111">
    <w:abstractNumId w:val="14"/>
  </w:num>
  <w:num w:numId="112">
    <w:abstractNumId w:val="14"/>
  </w:num>
  <w:num w:numId="113">
    <w:abstractNumId w:val="14"/>
  </w:num>
  <w:num w:numId="114">
    <w:abstractNumId w:val="14"/>
  </w:num>
  <w:num w:numId="115">
    <w:abstractNumId w:val="14"/>
  </w:num>
  <w:num w:numId="116">
    <w:abstractNumId w:val="14"/>
  </w:num>
  <w:num w:numId="117">
    <w:abstractNumId w:val="14"/>
  </w:num>
  <w:num w:numId="118">
    <w:abstractNumId w:val="14"/>
  </w:num>
  <w:num w:numId="119">
    <w:abstractNumId w:val="14"/>
  </w:num>
  <w:num w:numId="120">
    <w:abstractNumId w:val="14"/>
  </w:num>
  <w:num w:numId="121">
    <w:abstractNumId w:val="14"/>
  </w:num>
  <w:num w:numId="122">
    <w:abstractNumId w:val="14"/>
  </w:num>
  <w:num w:numId="123">
    <w:abstractNumId w:val="14"/>
  </w:num>
  <w:num w:numId="124">
    <w:abstractNumId w:val="14"/>
  </w:num>
  <w:num w:numId="125">
    <w:abstractNumId w:val="46"/>
    <w:lvlOverride w:ilvl="0">
      <w:startOverride w:val="1"/>
    </w:lvlOverride>
  </w:num>
  <w:num w:numId="126">
    <w:abstractNumId w:val="46"/>
  </w:num>
  <w:num w:numId="127">
    <w:abstractNumId w:val="46"/>
  </w:num>
  <w:num w:numId="128">
    <w:abstractNumId w:val="46"/>
  </w:num>
  <w:num w:numId="129">
    <w:abstractNumId w:val="46"/>
  </w:num>
  <w:num w:numId="130">
    <w:abstractNumId w:val="46"/>
  </w:num>
  <w:num w:numId="131">
    <w:abstractNumId w:val="46"/>
  </w:num>
  <w:num w:numId="132">
    <w:abstractNumId w:val="46"/>
  </w:num>
  <w:num w:numId="133">
    <w:abstractNumId w:val="46"/>
  </w:num>
  <w:num w:numId="134">
    <w:abstractNumId w:val="46"/>
  </w:num>
  <w:num w:numId="135">
    <w:abstractNumId w:val="46"/>
  </w:num>
  <w:num w:numId="136">
    <w:abstractNumId w:val="46"/>
  </w:num>
  <w:num w:numId="137">
    <w:abstractNumId w:val="46"/>
  </w:num>
  <w:num w:numId="138">
    <w:abstractNumId w:val="46"/>
  </w:num>
  <w:num w:numId="139">
    <w:abstractNumId w:val="46"/>
  </w:num>
  <w:num w:numId="140">
    <w:abstractNumId w:val="46"/>
  </w:num>
  <w:num w:numId="141">
    <w:abstractNumId w:val="46"/>
  </w:num>
  <w:num w:numId="142">
    <w:abstractNumId w:val="46"/>
  </w:num>
  <w:num w:numId="143">
    <w:abstractNumId w:val="46"/>
  </w:num>
  <w:num w:numId="144">
    <w:abstractNumId w:val="46"/>
  </w:num>
  <w:num w:numId="145">
    <w:abstractNumId w:val="46"/>
  </w:num>
  <w:num w:numId="146">
    <w:abstractNumId w:val="46"/>
  </w:num>
  <w:num w:numId="147">
    <w:abstractNumId w:val="46"/>
  </w:num>
  <w:num w:numId="148">
    <w:abstractNumId w:val="46"/>
  </w:num>
  <w:num w:numId="149">
    <w:abstractNumId w:val="46"/>
  </w:num>
  <w:num w:numId="150">
    <w:abstractNumId w:val="46"/>
  </w:num>
  <w:num w:numId="151">
    <w:abstractNumId w:val="46"/>
  </w:num>
  <w:num w:numId="152">
    <w:abstractNumId w:val="46"/>
  </w:num>
  <w:num w:numId="153">
    <w:abstractNumId w:val="46"/>
  </w:num>
  <w:num w:numId="154">
    <w:abstractNumId w:val="46"/>
  </w:num>
  <w:num w:numId="155">
    <w:abstractNumId w:val="46"/>
  </w:num>
  <w:num w:numId="156">
    <w:abstractNumId w:val="46"/>
  </w:num>
  <w:num w:numId="157">
    <w:abstractNumId w:val="46"/>
  </w:num>
  <w:num w:numId="158">
    <w:abstractNumId w:val="46"/>
  </w:num>
  <w:num w:numId="159">
    <w:abstractNumId w:val="46"/>
  </w:num>
  <w:num w:numId="160">
    <w:abstractNumId w:val="46"/>
  </w:num>
  <w:num w:numId="161">
    <w:abstractNumId w:val="46"/>
  </w:num>
  <w:num w:numId="162">
    <w:abstractNumId w:val="46"/>
  </w:num>
  <w:num w:numId="163">
    <w:abstractNumId w:val="46"/>
  </w:num>
  <w:num w:numId="164">
    <w:abstractNumId w:val="46"/>
  </w:num>
  <w:num w:numId="165">
    <w:abstractNumId w:val="46"/>
  </w:num>
  <w:num w:numId="166">
    <w:abstractNumId w:val="46"/>
  </w:num>
  <w:num w:numId="167">
    <w:abstractNumId w:val="4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Mang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4f619a"/>
    <w:pPr>
      <w:keepNext w:val="true"/>
      <w:keepLines/>
      <w:spacing w:before="240" w:after="0"/>
      <w:outlineLvl w:val="0"/>
    </w:pPr>
    <w:rPr>
      <w:rFonts w:ascii="Calibri Light" w:hAnsi="Calibri Light" w:eastAsia="" w:asciiTheme="majorHAnsi" w:eastAsiaTheme="majorEastAsia" w:hAnsiTheme="majorHAnsi"/>
      <w:color w:themeColor="accent1" w:themeShade="bf" w:val="2F5496"/>
      <w:sz w:val="32"/>
      <w:szCs w:val="29"/>
    </w:rPr>
  </w:style>
  <w:style w:type="paragraph" w:styleId="Heading2">
    <w:name w:val="Heading 2"/>
    <w:basedOn w:val="Nagwek1"/>
    <w:next w:val="Textbody"/>
    <w:uiPriority w:val="9"/>
    <w:unhideWhenUsed/>
    <w:qFormat/>
    <w:pPr>
      <w:spacing w:before="200" w:after="120"/>
      <w:outlineLvl w:val="1"/>
    </w:pPr>
    <w:rPr>
      <w:rFonts w:ascii="Liberation Serif" w:hAnsi="Liberation Serif" w:eastAsia="NSimSun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>
      <w:b/>
      <w:bCs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TekstpodstawowyZnak" w:customStyle="1">
    <w:name w:val="Tekst podstawowy Znak"/>
    <w:basedOn w:val="DefaultParagraphFont"/>
    <w:qFormat/>
    <w:rPr>
      <w:szCs w:val="21"/>
    </w:rPr>
  </w:style>
  <w:style w:type="character" w:styleId="TytuZnak" w:customStyle="1">
    <w:name w:val="Tytuł Znak"/>
    <w:basedOn w:val="DefaultParagraphFont"/>
    <w:qFormat/>
    <w:rPr>
      <w:rFonts w:eastAsia="Times New Roman" w:cs="Times New Roman"/>
      <w:b/>
      <w:kern w:val="0"/>
      <w:lang w:bidi="ar-SA"/>
    </w:rPr>
  </w:style>
  <w:style w:type="character" w:styleId="PodtytuZnak" w:customStyle="1">
    <w:name w:val="Podtytuł Znak"/>
    <w:basedOn w:val="DefaultParagraphFont"/>
    <w:qFormat/>
    <w:rPr>
      <w:rFonts w:ascii="Calibri" w:hAnsi="Calibri" w:eastAsia="Times New Roman" w:cs="Calibri"/>
      <w:color w:val="5A5A5A"/>
      <w:spacing w:val="15"/>
      <w:sz w:val="22"/>
      <w:szCs w:val="20"/>
    </w:rPr>
  </w:style>
  <w:style w:type="character" w:styleId="TekstdymkaZnak" w:customStyle="1">
    <w:name w:val="Tekst dymka Znak"/>
    <w:basedOn w:val="DefaultParagraphFont"/>
    <w:qFormat/>
    <w:rPr>
      <w:rFonts w:ascii="Segoe UI" w:hAnsi="Segoe UI" w:eastAsia="Segoe UI" w:cs="Segoe UI"/>
      <w:sz w:val="18"/>
      <w:szCs w:val="16"/>
    </w:rPr>
  </w:style>
  <w:style w:type="character" w:styleId="StrongEmphasis" w:customStyle="1">
    <w:name w:val="Strong Emphasis"/>
    <w:qFormat/>
    <w:rPr>
      <w:b/>
      <w:bCs/>
    </w:rPr>
  </w:style>
  <w:style w:type="character" w:styleId="StopkaZnak" w:customStyle="1">
    <w:name w:val="Stopka Znak"/>
    <w:basedOn w:val="DefaultParagraphFont"/>
    <w:uiPriority w:val="99"/>
    <w:qFormat/>
    <w:rsid w:val="004f619a"/>
    <w:rPr/>
  </w:style>
  <w:style w:type="character" w:styleId="Nagwek1Znak" w:customStyle="1">
    <w:name w:val="Nagłówek 1 Znak"/>
    <w:basedOn w:val="DefaultParagraphFont"/>
    <w:uiPriority w:val="9"/>
    <w:qFormat/>
    <w:rsid w:val="004f619a"/>
    <w:rPr>
      <w:rFonts w:ascii="Calibri Light" w:hAnsi="Calibri Light" w:eastAsia="" w:asciiTheme="majorHAnsi" w:eastAsiaTheme="majorEastAsia" w:hAnsiTheme="majorHAnsi"/>
      <w:color w:themeColor="accent1" w:themeShade="bf" w:val="2F5496"/>
      <w:sz w:val="32"/>
      <w:szCs w:val="29"/>
    </w:rPr>
  </w:style>
  <w:style w:type="character" w:styleId="Hyperlink">
    <w:name w:val="Hyperlink"/>
    <w:basedOn w:val="DefaultParagraphFont"/>
    <w:uiPriority w:val="99"/>
    <w:unhideWhenUsed/>
    <w:rsid w:val="004f619a"/>
    <w:rPr>
      <w:color w:themeColor="hyperlink" w:val="0563C1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57f7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757f71"/>
    <w:rPr>
      <w:sz w:val="20"/>
      <w:szCs w:val="18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57f71"/>
    <w:rPr>
      <w:b/>
      <w:bCs/>
      <w:sz w:val="20"/>
      <w:szCs w:val="18"/>
    </w:rPr>
  </w:style>
  <w:style w:type="character" w:styleId="Czeindeksu" w:customStyle="1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>
      <w:szCs w:val="21"/>
    </w:rPr>
  </w:style>
  <w:style w:type="paragraph" w:styleId="List">
    <w:name w:val="List"/>
    <w:basedOn w:val="Teks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Tekst" w:customStyle="1">
    <w:name w:val="Tekst"/>
    <w:basedOn w:val="Standard"/>
    <w:qFormat/>
    <w:pPr>
      <w:spacing w:before="120" w:after="120"/>
    </w:pPr>
    <w:rPr/>
  </w:style>
  <w:style w:type="paragraph" w:styleId="Gwkaistopka" w:customStyle="1">
    <w:name w:val="Główka i stopka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next w:val="BodyText"/>
    <w:pPr/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Nagwek1" w:customStyle="1">
    <w:name w:val="Nagłówek1"/>
    <w:basedOn w:val="Standard"/>
    <w:next w:val="BodyText"/>
    <w:qFormat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11" w:customStyle="1">
    <w:name w:val="caption111"/>
    <w:basedOn w:val="Standard"/>
    <w:qFormat/>
    <w:pPr>
      <w:suppressLineNumbers/>
      <w:spacing w:before="120" w:after="120"/>
    </w:pPr>
    <w:rPr>
      <w:i/>
      <w:iCs/>
      <w:sz w:val="20"/>
      <w:szCs w:val="20"/>
    </w:rPr>
  </w:style>
  <w:style w:type="paragraph" w:styleId="Signature">
    <w:name w:val="Signature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BodyText3">
    <w:name w:val="Body Text 3"/>
    <w:basedOn w:val="Standard"/>
    <w:qFormat/>
    <w:pPr>
      <w:jc w:val="center"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Footnote" w:customStyle="1">
    <w:name w:val="Footnote"/>
    <w:basedOn w:val="Standard"/>
    <w:qFormat/>
    <w:pPr/>
    <w:rPr>
      <w:sz w:val="20"/>
      <w:szCs w:val="20"/>
    </w:rPr>
  </w:style>
  <w:style w:type="paragraph" w:styleId="Footer">
    <w:name w:val="Footer"/>
    <w:basedOn w:val="Standard"/>
    <w:link w:val="StopkaZnak"/>
    <w:uiPriority w:val="99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Title">
    <w:name w:val="Title"/>
    <w:basedOn w:val="Normal"/>
    <w:uiPriority w:val="10"/>
    <w:qFormat/>
    <w:pPr>
      <w:widowControl/>
      <w:jc w:val="center"/>
      <w:textAlignment w:val="auto"/>
    </w:pPr>
    <w:rPr>
      <w:rFonts w:eastAsia="Times New Roman" w:cs="Times New Roman"/>
      <w:b/>
      <w:kern w:val="0"/>
      <w:lang w:bidi="ar-SA"/>
    </w:rPr>
  </w:style>
  <w:style w:type="paragraph" w:styleId="Subtitle">
    <w:name w:val="Subtitle"/>
    <w:basedOn w:val="Normal"/>
    <w:next w:val="Normal"/>
    <w:uiPriority w:val="11"/>
    <w:qFormat/>
    <w:pPr>
      <w:spacing w:before="0" w:after="160"/>
    </w:pPr>
    <w:rPr>
      <w:rFonts w:ascii="Calibri" w:hAnsi="Calibri" w:eastAsia="Times New Roman" w:cs="Calibri"/>
      <w:color w:val="5A5A5A"/>
      <w:spacing w:val="15"/>
      <w:sz w:val="22"/>
      <w:szCs w:val="20"/>
    </w:rPr>
  </w:style>
  <w:style w:type="paragraph" w:styleId="BalloonText">
    <w:name w:val="Balloon Text"/>
    <w:basedOn w:val="Normal"/>
    <w:qFormat/>
    <w:pPr/>
    <w:rPr>
      <w:rFonts w:ascii="Segoe UI" w:hAnsi="Segoe UI" w:eastAsia="Segoe UI" w:cs="Segoe UI"/>
      <w:sz w:val="18"/>
      <w:szCs w:val="16"/>
    </w:rPr>
  </w:style>
  <w:style w:type="paragraph" w:styleId="ListParagraph">
    <w:name w:val="List Paragraph"/>
    <w:basedOn w:val="Standard"/>
    <w:qFormat/>
    <w:pPr>
      <w:spacing w:before="0" w:after="200"/>
      <w:ind w:left="720"/>
    </w:pPr>
    <w:rPr/>
  </w:style>
  <w:style w:type="paragraph" w:styleId="TableParagraph" w:customStyle="1">
    <w:name w:val="Table Paragraph"/>
    <w:basedOn w:val="Standard"/>
    <w:qFormat/>
    <w:pPr/>
    <w:rPr>
      <w:rFonts w:eastAsia="Times New Roman" w:cs="Times New Roman"/>
      <w:lang w:eastAsia="en-US" w:bidi="ar-SA"/>
    </w:rPr>
  </w:style>
  <w:style w:type="paragraph" w:styleId="Indexheading1" w:customStyle="1">
    <w:name w:val="index heading1"/>
    <w:basedOn w:val="Nagwek1"/>
    <w:qFormat/>
    <w:pPr/>
    <w:rPr/>
  </w:style>
  <w:style w:type="paragraph" w:styleId="Indexheading2">
    <w:name w:val="index heading2"/>
    <w:basedOn w:val="Header"/>
    <w:qFormat/>
    <w:pPr/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4f619a"/>
    <w:pPr>
      <w:widowControl/>
      <w:suppressAutoHyphens w:val="false"/>
      <w:spacing w:lineRule="auto" w:line="259"/>
      <w:textAlignment w:val="auto"/>
      <w:outlineLvl w:val="9"/>
    </w:pPr>
    <w:rPr>
      <w:rFonts w:cs="" w:cstheme="majorBidi"/>
      <w:kern w:val="0"/>
      <w:szCs w:val="32"/>
      <w:lang w:eastAsia="pl-PL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f619a"/>
    <w:pPr>
      <w:widowControl w:val="false"/>
      <w:tabs>
        <w:tab w:val="clear" w:pos="709"/>
        <w:tab w:val="left" w:pos="660" w:leader="none"/>
        <w:tab w:val="right" w:pos="9628" w:leader="dot"/>
      </w:tabs>
      <w:suppressAutoHyphens w:val="true"/>
      <w:bidi w:val="0"/>
      <w:spacing w:before="228" w:after="328"/>
      <w:ind w:hanging="624" w:left="624" w:right="0"/>
      <w:jc w:val="left"/>
      <w:textAlignment w:val="baseline"/>
    </w:pPr>
    <w:rPr>
      <w:b/>
      <w:bCs/>
      <w:szCs w:val="21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757f71"/>
    <w:pPr/>
    <w:rPr>
      <w:sz w:val="20"/>
      <w:szCs w:val="18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757f71"/>
    <w:pPr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fa4114"/>
    <w:pPr>
      <w:spacing w:before="114" w:after="214"/>
      <w:ind w:left="240"/>
    </w:pPr>
    <w:rPr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b05824"/>
    <w:pPr>
      <w:widowControl/>
      <w:suppressAutoHyphens w:val="false"/>
      <w:spacing w:lineRule="auto" w:line="259" w:before="0" w:after="100"/>
      <w:ind w:left="440"/>
      <w:textAlignment w:val="auto"/>
    </w:pPr>
    <w:rPr>
      <w:rFonts w:ascii="Calibri" w:hAnsi="Calibri" w:eastAsia="" w:cs="Times New Roman" w:asciiTheme="minorHAnsi" w:eastAsiaTheme="minorEastAsia" w:hAnsiTheme="minorHAnsi"/>
      <w:kern w:val="0"/>
      <w:sz w:val="22"/>
      <w:szCs w:val="22"/>
      <w:lang w:eastAsia="pl-PL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NSimSun" w:cs="Arial"/>
      <w:color w:val="000000"/>
      <w:kern w:val="2"/>
      <w:sz w:val="24"/>
      <w:szCs w:val="24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472C6-5D71-4A57-A179-026DCDB9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Application>LibreOffice/7.6.1.2$Windows_X86_64 LibreOffice_project/f5defcebd022c5bc36bbb79be232cb6926d8f674</Application>
  <AppVersion>15.0000</AppVersion>
  <Pages>13</Pages>
  <Words>2586</Words>
  <Characters>17130</Characters>
  <CharactersWithSpaces>19619</CharactersWithSpaces>
  <Paragraphs>277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2024-05-17T06:58:00Z</dcterms:created>
  <dc:creator>Andrzej Iwanowski2</dc:creator>
  <dc:description/>
  <dc:language>pl-PL</dc:language>
  <cp:lastModifiedBy/>
  <cp:lastPrinted>2024-06-06T09:03:03Z</cp:lastPrinted>
  <dcterms:modified xsi:type="dcterms:W3CDTF">2024-06-06T14:05:34Z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