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AE1" w:rsidRDefault="00EF658D">
      <w:pPr>
        <w:pStyle w:val="Standard"/>
        <w:jc w:val="both"/>
        <w:rPr>
          <w:sz w:val="19"/>
          <w:szCs w:val="19"/>
        </w:rPr>
      </w:pPr>
      <w:r>
        <w:rPr>
          <w:b/>
          <w:bCs/>
          <w:sz w:val="19"/>
          <w:szCs w:val="19"/>
        </w:rPr>
        <w:t xml:space="preserve">                                                               OGŁOSZENIE O PRZETARGU</w:t>
      </w:r>
    </w:p>
    <w:p w:rsidR="00BF1AE1" w:rsidRDefault="00EF658D">
      <w:pPr>
        <w:pStyle w:val="Standard"/>
        <w:jc w:val="both"/>
      </w:pPr>
      <w:r>
        <w:rPr>
          <w:sz w:val="19"/>
          <w:szCs w:val="19"/>
          <w:u w:val="single"/>
        </w:rPr>
        <w:t xml:space="preserve">Burmistrz Miasta Pionki ogłasza I ustny przetarg nieograniczony na sprzedaż prawa użytkowania wieczystego zabudowanej nieruchomości położonej w Pionkach przy ul. Zakładowej 7.              </w:t>
      </w:r>
    </w:p>
    <w:p w:rsidR="00BF1AE1" w:rsidRDefault="00BF1AE1">
      <w:pPr>
        <w:pStyle w:val="Standard"/>
        <w:jc w:val="both"/>
        <w:rPr>
          <w:sz w:val="19"/>
          <w:szCs w:val="19"/>
          <w:u w:val="single"/>
        </w:rPr>
      </w:pPr>
    </w:p>
    <w:p w:rsidR="00BF1AE1" w:rsidRDefault="00EF658D">
      <w:pPr>
        <w:pStyle w:val="Standard"/>
        <w:jc w:val="both"/>
      </w:pPr>
      <w:r>
        <w:rPr>
          <w:b/>
          <w:bCs/>
          <w:sz w:val="19"/>
          <w:szCs w:val="19"/>
        </w:rPr>
        <w:t>Do sprzedaży przeznaczone jest:</w:t>
      </w:r>
      <w:r>
        <w:rPr>
          <w:sz w:val="19"/>
          <w:szCs w:val="19"/>
        </w:rPr>
        <w:t xml:space="preserve">  prawo użytkowania wieczystego zabudowanej nieruchomości oznaczonej</w:t>
      </w:r>
      <w:r>
        <w:rPr>
          <w:sz w:val="19"/>
          <w:szCs w:val="19"/>
        </w:rPr>
        <w:br/>
        <w:t xml:space="preserve"> w ewidencji gruntów jako  działka nr :</w:t>
      </w:r>
    </w:p>
    <w:p w:rsidR="00BF1AE1" w:rsidRDefault="00EF658D">
      <w:pPr>
        <w:pStyle w:val="Standard"/>
        <w:jc w:val="both"/>
      </w:pPr>
      <w:r>
        <w:rPr>
          <w:rFonts w:cs="Tahoma"/>
          <w:sz w:val="19"/>
          <w:szCs w:val="19"/>
        </w:rPr>
        <w:t xml:space="preserve">1. </w:t>
      </w:r>
      <w:r w:rsidR="001F53E7">
        <w:rPr>
          <w:rFonts w:cs="Tahoma"/>
          <w:sz w:val="19"/>
          <w:szCs w:val="19"/>
        </w:rPr>
        <w:t>1</w:t>
      </w:r>
      <w:r>
        <w:rPr>
          <w:rFonts w:cs="Tahoma"/>
          <w:sz w:val="19"/>
          <w:szCs w:val="19"/>
        </w:rPr>
        <w:t xml:space="preserve">464/450 o powierzchni  </w:t>
      </w:r>
      <w:r>
        <w:rPr>
          <w:rFonts w:eastAsia="Times New Roman" w:cs="Times New Roman"/>
          <w:sz w:val="20"/>
          <w:szCs w:val="20"/>
          <w:lang w:eastAsia="hi-IN"/>
        </w:rPr>
        <w:t>34,5997</w:t>
      </w:r>
      <w:r>
        <w:rPr>
          <w:rFonts w:cs="Tahoma"/>
          <w:sz w:val="19"/>
          <w:szCs w:val="19"/>
        </w:rPr>
        <w:t xml:space="preserve"> ha w  wraz z udziałem </w:t>
      </w:r>
      <w:r>
        <w:rPr>
          <w:rFonts w:cs="Tahoma"/>
          <w:sz w:val="20"/>
          <w:szCs w:val="20"/>
        </w:rPr>
        <w:t xml:space="preserve"> 673/10 000 cz.</w:t>
      </w:r>
      <w:r>
        <w:rPr>
          <w:sz w:val="20"/>
          <w:szCs w:val="20"/>
        </w:rPr>
        <w:t xml:space="preserve"> w prawie użytkowania działek </w:t>
      </w:r>
      <w:r>
        <w:rPr>
          <w:rFonts w:eastAsia="Times New Roman" w:cs="Times New Roman"/>
          <w:sz w:val="20"/>
          <w:szCs w:val="20"/>
          <w:lang w:eastAsia="hi-IN"/>
        </w:rPr>
        <w:t xml:space="preserve">nr: </w:t>
      </w:r>
      <w:bookmarkStart w:id="0" w:name="__DdeLink__463_3544997633"/>
      <w:r>
        <w:rPr>
          <w:rFonts w:eastAsia="Times New Roman" w:cs="Times New Roman"/>
          <w:sz w:val="20"/>
          <w:szCs w:val="20"/>
          <w:lang w:eastAsia="hi-IN"/>
        </w:rPr>
        <w:t>1464/167,1464/31,1464/90,1464/36,1464/71,1464/33,1464/166,1464/110</w:t>
      </w:r>
      <w:r>
        <w:rPr>
          <w:rFonts w:cs="Tahoma"/>
          <w:sz w:val="19"/>
          <w:szCs w:val="19"/>
        </w:rPr>
        <w:t xml:space="preserve"> </w:t>
      </w:r>
      <w:bookmarkEnd w:id="0"/>
      <w:r>
        <w:rPr>
          <w:rFonts w:cs="Tahoma"/>
          <w:sz w:val="19"/>
          <w:szCs w:val="19"/>
        </w:rPr>
        <w:t xml:space="preserve">o łącznej pow. 9,7819 ha </w:t>
      </w:r>
      <w:bookmarkStart w:id="1" w:name="__DdeLink__1222_2361042149"/>
      <w:r>
        <w:rPr>
          <w:rFonts w:cs="Tahoma"/>
          <w:sz w:val="19"/>
          <w:szCs w:val="19"/>
        </w:rPr>
        <w:t>stanowiących drogi wewnętrzne, łączące tę nieruchomość z drogą publiczną</w:t>
      </w:r>
      <w:bookmarkEnd w:id="1"/>
      <w:r>
        <w:rPr>
          <w:rFonts w:cs="Tahoma"/>
          <w:sz w:val="19"/>
          <w:szCs w:val="19"/>
        </w:rPr>
        <w:t xml:space="preserve">. Nieruchomość zabudowana </w:t>
      </w:r>
      <w:bookmarkStart w:id="2" w:name="__DdeLink__77_1937123803"/>
      <w:r>
        <w:rPr>
          <w:rFonts w:cs="Tahoma"/>
          <w:sz w:val="19"/>
          <w:szCs w:val="19"/>
        </w:rPr>
        <w:t>jest budynkami o charakterze przemysłowo-magazynowym  i administracyjno-socjalnymi (ustęp., kotłownia, biuro).</w:t>
      </w:r>
    </w:p>
    <w:p w:rsidR="00BF1AE1" w:rsidRDefault="00EF658D" w:rsidP="00FE1A7F">
      <w:pPr>
        <w:pStyle w:val="Zawartotabeli"/>
        <w:jc w:val="both"/>
      </w:pPr>
      <w:r>
        <w:rPr>
          <w:rFonts w:cs="Tahoma"/>
          <w:sz w:val="19"/>
          <w:szCs w:val="19"/>
        </w:rPr>
        <w:t>2.</w:t>
      </w:r>
      <w:r w:rsidR="001F53E7">
        <w:rPr>
          <w:rFonts w:cs="Tahoma"/>
          <w:sz w:val="19"/>
          <w:szCs w:val="19"/>
        </w:rPr>
        <w:t xml:space="preserve"> </w:t>
      </w:r>
      <w:r>
        <w:rPr>
          <w:rFonts w:cs="Tahoma"/>
          <w:sz w:val="19"/>
          <w:szCs w:val="19"/>
        </w:rPr>
        <w:t>1464/72 o powierzchni  4,3897 ha wraz z udziałem 82/10 000 cz.  w prawie użytkowania działek nr: 1464/167, 1464/166, 1464/31, 1464/71, 1464/33 o łącznej pow. 4,1724 ha</w:t>
      </w:r>
      <w:r w:rsidR="005E46BD">
        <w:rPr>
          <w:rFonts w:cs="Tahoma"/>
          <w:sz w:val="19"/>
          <w:szCs w:val="19"/>
        </w:rPr>
        <w:t>,</w:t>
      </w:r>
      <w:r>
        <w:rPr>
          <w:rFonts w:cs="Tahoma"/>
          <w:sz w:val="19"/>
          <w:szCs w:val="19"/>
        </w:rPr>
        <w:t xml:space="preserve"> stanowiących drogi wewnętrzne, łączące tę nieruchomość z drogą </w:t>
      </w:r>
      <w:r w:rsidR="00FE1A7F">
        <w:rPr>
          <w:rFonts w:cs="Tahoma"/>
          <w:sz w:val="19"/>
          <w:szCs w:val="19"/>
        </w:rPr>
        <w:t>p</w:t>
      </w:r>
      <w:r>
        <w:rPr>
          <w:rFonts w:cs="Tahoma"/>
          <w:sz w:val="19"/>
          <w:szCs w:val="19"/>
        </w:rPr>
        <w:t>ubliczną.</w:t>
      </w:r>
      <w:r>
        <w:rPr>
          <w:rFonts w:cs="Tahoma"/>
          <w:sz w:val="19"/>
          <w:szCs w:val="19"/>
        </w:rPr>
        <w:br/>
      </w:r>
      <w:bookmarkEnd w:id="2"/>
      <w:r>
        <w:rPr>
          <w:rFonts w:cs="Tahoma"/>
          <w:sz w:val="19"/>
          <w:szCs w:val="19"/>
        </w:rPr>
        <w:t xml:space="preserve">Dla przedmiotowych nieruchomości Sąd Rejonowy w Kozienicach V Wydział Ksiąg Wieczystych  prowadzi księgi wieczyste  </w:t>
      </w:r>
      <w:r>
        <w:rPr>
          <w:rFonts w:cs="Tahoma"/>
          <w:sz w:val="20"/>
          <w:szCs w:val="20"/>
        </w:rPr>
        <w:t xml:space="preserve"> KW Nr</w:t>
      </w:r>
      <w:bookmarkStart w:id="3" w:name="_GoBack"/>
      <w:bookmarkEnd w:id="3"/>
      <w:r>
        <w:rPr>
          <w:rFonts w:cs="Tahoma"/>
          <w:sz w:val="20"/>
          <w:szCs w:val="20"/>
        </w:rPr>
        <w:t>:</w:t>
      </w:r>
      <w:r w:rsidR="005E46BD">
        <w:rPr>
          <w:rFonts w:cs="Tahoma"/>
          <w:sz w:val="20"/>
          <w:szCs w:val="20"/>
        </w:rPr>
        <w:t xml:space="preserve"> </w:t>
      </w:r>
      <w:r>
        <w:rPr>
          <w:rFonts w:cs="Times New Roman"/>
          <w:sz w:val="20"/>
          <w:szCs w:val="20"/>
        </w:rPr>
        <w:t>RA2Z/00008104/2, RA2Z/00008565/1, RA2Z/00008243/8, RA2Z/00009476/7, RA2Z/00007807/3,</w:t>
      </w:r>
      <w:r w:rsidR="005E46BD">
        <w:rPr>
          <w:rFonts w:cs="Times New Roman"/>
          <w:sz w:val="20"/>
          <w:szCs w:val="20"/>
        </w:rPr>
        <w:t xml:space="preserve"> </w:t>
      </w:r>
      <w:r>
        <w:rPr>
          <w:rFonts w:cs="Times New Roman"/>
          <w:sz w:val="20"/>
          <w:szCs w:val="20"/>
        </w:rPr>
        <w:t xml:space="preserve">RA2Z/00009498/7,  RA2Z/00009104/9,  RA2Z/00007414/1. </w:t>
      </w:r>
    </w:p>
    <w:p w:rsidR="001F53E7" w:rsidRDefault="001F53E7" w:rsidP="001F53E7">
      <w:pPr>
        <w:pStyle w:val="Standard"/>
        <w:tabs>
          <w:tab w:val="left" w:pos="720"/>
        </w:tabs>
        <w:jc w:val="both"/>
        <w:rPr>
          <w:sz w:val="20"/>
          <w:szCs w:val="20"/>
        </w:rPr>
      </w:pPr>
      <w:r>
        <w:rPr>
          <w:sz w:val="19"/>
          <w:szCs w:val="19"/>
        </w:rPr>
        <w:t>Właścicielem działki nr 1464/</w:t>
      </w:r>
      <w:r w:rsidR="00EF658D">
        <w:rPr>
          <w:sz w:val="19"/>
          <w:szCs w:val="19"/>
        </w:rPr>
        <w:t>450 i 1464/72 jest Skarb Państwa, a użytkownikiem wieczystym gruntu i właścicielem budynków stanowiących odrębny od gruntu przedmiot własności  jest Gmina Miasta Pionki. Skarb Państwa jest właścicielem,</w:t>
      </w:r>
      <w:r w:rsidR="00EF658D">
        <w:rPr>
          <w:sz w:val="19"/>
          <w:szCs w:val="19"/>
        </w:rPr>
        <w:br/>
        <w:t xml:space="preserve">a Gmina Miasta Pionki jest współużytkownikiem wieczystym działek nr: </w:t>
      </w:r>
      <w:r w:rsidR="00EF658D">
        <w:rPr>
          <w:rFonts w:eastAsia="Times New Roman" w:cs="Times New Roman"/>
          <w:sz w:val="20"/>
          <w:szCs w:val="20"/>
          <w:lang w:eastAsia="hi-IN"/>
        </w:rPr>
        <w:t>1464/167, 1464/31, 1464/90, 1464/36, 1464/71, 1464/33, 1464/166, i 1464/110</w:t>
      </w:r>
      <w:r w:rsidR="00EF658D">
        <w:rPr>
          <w:rFonts w:eastAsia="Times New Roman" w:cs="Tahoma"/>
          <w:sz w:val="19"/>
          <w:szCs w:val="19"/>
          <w:lang w:eastAsia="hi-IN"/>
        </w:rPr>
        <w:t>.</w:t>
      </w:r>
      <w:r w:rsidRPr="001F53E7">
        <w:rPr>
          <w:sz w:val="20"/>
          <w:szCs w:val="20"/>
        </w:rPr>
        <w:t xml:space="preserve"> </w:t>
      </w:r>
    </w:p>
    <w:p w:rsidR="001F53E7" w:rsidRPr="001F53E7" w:rsidRDefault="001F53E7" w:rsidP="001F53E7">
      <w:pPr>
        <w:pStyle w:val="Standard"/>
        <w:tabs>
          <w:tab w:val="left" w:pos="720"/>
        </w:tabs>
        <w:jc w:val="both"/>
        <w:rPr>
          <w:color w:val="auto"/>
          <w:sz w:val="20"/>
          <w:szCs w:val="20"/>
        </w:rPr>
      </w:pPr>
      <w:r w:rsidRPr="001F53E7">
        <w:rPr>
          <w:sz w:val="20"/>
          <w:szCs w:val="20"/>
        </w:rPr>
        <w:t xml:space="preserve">Przy sprzedaży nieruchomości nabywca zobowiązany będzie do ustanowienia nieodpłatnej służebności </w:t>
      </w:r>
      <w:r w:rsidR="00977AA5">
        <w:rPr>
          <w:sz w:val="20"/>
          <w:szCs w:val="20"/>
        </w:rPr>
        <w:t>polegającej na  prawie</w:t>
      </w:r>
      <w:r w:rsidRPr="001F53E7">
        <w:rPr>
          <w:sz w:val="20"/>
          <w:szCs w:val="20"/>
        </w:rPr>
        <w:t xml:space="preserve"> przejścia i przejazdu przez dz. nr 1464/450 pasem gruntu </w:t>
      </w:r>
      <w:r w:rsidR="00977AA5">
        <w:rPr>
          <w:sz w:val="20"/>
          <w:szCs w:val="20"/>
        </w:rPr>
        <w:t xml:space="preserve">  </w:t>
      </w:r>
      <w:r w:rsidRPr="001F53E7">
        <w:rPr>
          <w:sz w:val="20"/>
          <w:szCs w:val="20"/>
        </w:rPr>
        <w:t>o szerokości 5 m</w:t>
      </w:r>
      <w:r w:rsidR="00DC77C4">
        <w:rPr>
          <w:sz w:val="20"/>
          <w:szCs w:val="20"/>
        </w:rPr>
        <w:t>,</w:t>
      </w:r>
      <w:r w:rsidRPr="001F53E7">
        <w:rPr>
          <w:sz w:val="20"/>
          <w:szCs w:val="20"/>
        </w:rPr>
        <w:t xml:space="preserve">  </w:t>
      </w:r>
      <w:r w:rsidR="00DC77C4" w:rsidRPr="001F53E7">
        <w:rPr>
          <w:sz w:val="20"/>
          <w:szCs w:val="20"/>
        </w:rPr>
        <w:t xml:space="preserve">na rzecz Gminy Miasta Pionki  </w:t>
      </w:r>
      <w:r w:rsidR="00DC77C4">
        <w:rPr>
          <w:sz w:val="20"/>
          <w:szCs w:val="20"/>
        </w:rPr>
        <w:t xml:space="preserve">oraz każdoczesnego </w:t>
      </w:r>
      <w:r w:rsidR="00FD1E70">
        <w:rPr>
          <w:sz w:val="20"/>
          <w:szCs w:val="20"/>
        </w:rPr>
        <w:t>użytkownika wieczystego</w:t>
      </w:r>
      <w:r w:rsidR="00DC77C4">
        <w:rPr>
          <w:sz w:val="20"/>
          <w:szCs w:val="20"/>
        </w:rPr>
        <w:t xml:space="preserve"> </w:t>
      </w:r>
      <w:r w:rsidRPr="001F53E7">
        <w:rPr>
          <w:sz w:val="20"/>
          <w:szCs w:val="20"/>
        </w:rPr>
        <w:t>działk</w:t>
      </w:r>
      <w:r w:rsidR="00ED5C1E">
        <w:rPr>
          <w:sz w:val="20"/>
          <w:szCs w:val="20"/>
        </w:rPr>
        <w:t>i</w:t>
      </w:r>
      <w:r w:rsidRPr="001F53E7">
        <w:rPr>
          <w:sz w:val="20"/>
          <w:szCs w:val="20"/>
        </w:rPr>
        <w:t xml:space="preserve"> nr 1464/424 i 1464/425</w:t>
      </w:r>
      <w:r w:rsidR="00DC77C4">
        <w:rPr>
          <w:sz w:val="20"/>
          <w:szCs w:val="20"/>
        </w:rPr>
        <w:t>,</w:t>
      </w:r>
      <w:r w:rsidRPr="001F53E7">
        <w:rPr>
          <w:sz w:val="20"/>
          <w:szCs w:val="20"/>
        </w:rPr>
        <w:t xml:space="preserve"> </w:t>
      </w:r>
      <w:r w:rsidR="00977AA5">
        <w:rPr>
          <w:sz w:val="20"/>
          <w:szCs w:val="20"/>
        </w:rPr>
        <w:t>w celu zapewnienia dostępu</w:t>
      </w:r>
      <w:r w:rsidR="00DC77C4">
        <w:rPr>
          <w:sz w:val="20"/>
          <w:szCs w:val="20"/>
        </w:rPr>
        <w:t xml:space="preserve"> tych działek do drogi</w:t>
      </w:r>
      <w:r w:rsidR="00977AA5">
        <w:rPr>
          <w:sz w:val="20"/>
          <w:szCs w:val="20"/>
        </w:rPr>
        <w:t xml:space="preserve"> </w:t>
      </w:r>
      <w:r w:rsidR="00F203A7">
        <w:rPr>
          <w:sz w:val="20"/>
          <w:szCs w:val="20"/>
        </w:rPr>
        <w:t>wewnętrznej ( dz.nr 1464/90)</w:t>
      </w:r>
      <w:r w:rsidR="00977AA5">
        <w:rPr>
          <w:sz w:val="20"/>
          <w:szCs w:val="20"/>
        </w:rPr>
        <w:t>.</w:t>
      </w:r>
    </w:p>
    <w:p w:rsidR="00BF1AE1" w:rsidRDefault="00EF658D">
      <w:pPr>
        <w:pStyle w:val="Standard"/>
        <w:jc w:val="both"/>
      </w:pPr>
      <w:r>
        <w:rPr>
          <w:b/>
          <w:bCs/>
          <w:sz w:val="19"/>
          <w:szCs w:val="19"/>
        </w:rPr>
        <w:t xml:space="preserve">Przeznaczenie gruntu: </w:t>
      </w:r>
      <w:r>
        <w:rPr>
          <w:sz w:val="19"/>
          <w:szCs w:val="19"/>
        </w:rPr>
        <w:t>tereny: przemysłowe B.14-P.ZL – tereny przemysłowo leśne, P- teren produkcji przemysłowej</w:t>
      </w:r>
      <w:r w:rsidR="001F53E7">
        <w:rPr>
          <w:sz w:val="19"/>
          <w:szCs w:val="19"/>
        </w:rPr>
        <w:t xml:space="preserve">                               </w:t>
      </w:r>
      <w:r>
        <w:rPr>
          <w:sz w:val="19"/>
          <w:szCs w:val="19"/>
        </w:rPr>
        <w:t xml:space="preserve"> i rzemieślniczej.</w:t>
      </w:r>
    </w:p>
    <w:p w:rsidR="00BF1AE1" w:rsidRDefault="00EF658D">
      <w:pPr>
        <w:pStyle w:val="Standard"/>
        <w:jc w:val="both"/>
      </w:pPr>
      <w:r>
        <w:rPr>
          <w:b/>
          <w:bCs/>
          <w:sz w:val="19"/>
          <w:szCs w:val="19"/>
        </w:rPr>
        <w:t xml:space="preserve">Forma sprzedaży: I </w:t>
      </w:r>
      <w:r>
        <w:rPr>
          <w:sz w:val="19"/>
          <w:szCs w:val="19"/>
        </w:rPr>
        <w:t xml:space="preserve"> </w:t>
      </w:r>
      <w:r>
        <w:rPr>
          <w:b/>
          <w:sz w:val="19"/>
          <w:szCs w:val="19"/>
        </w:rPr>
        <w:t>ustny przetarg nieograniczony</w:t>
      </w:r>
      <w:r>
        <w:rPr>
          <w:sz w:val="19"/>
          <w:szCs w:val="19"/>
        </w:rPr>
        <w:t xml:space="preserve">. </w:t>
      </w:r>
    </w:p>
    <w:p w:rsidR="00BF1AE1" w:rsidRDefault="00EF658D">
      <w:pPr>
        <w:pStyle w:val="Standard"/>
        <w:jc w:val="both"/>
      </w:pPr>
      <w:r>
        <w:rPr>
          <w:sz w:val="19"/>
          <w:szCs w:val="19"/>
        </w:rPr>
        <w:t xml:space="preserve">Nieruchomość jest wolna od obciążeń. </w:t>
      </w:r>
    </w:p>
    <w:p w:rsidR="00BF1AE1" w:rsidRDefault="00EF658D">
      <w:pPr>
        <w:pStyle w:val="Standard"/>
        <w:numPr>
          <w:ilvl w:val="0"/>
          <w:numId w:val="1"/>
        </w:numPr>
        <w:jc w:val="both"/>
      </w:pPr>
      <w:r>
        <w:rPr>
          <w:b/>
          <w:bCs/>
          <w:sz w:val="19"/>
          <w:szCs w:val="19"/>
        </w:rPr>
        <w:t xml:space="preserve">Cena wywoławcza nieruchomości: </w:t>
      </w:r>
      <w:r>
        <w:rPr>
          <w:rFonts w:eastAsia="Times New Roman" w:cs="Times New Roman"/>
          <w:b/>
          <w:bCs/>
          <w:sz w:val="19"/>
          <w:szCs w:val="19"/>
          <w:lang w:eastAsia="hi-IN"/>
        </w:rPr>
        <w:t>6 182 000,00</w:t>
      </w:r>
      <w:r>
        <w:rPr>
          <w:rFonts w:cs="Tahoma"/>
          <w:b/>
          <w:bCs/>
          <w:sz w:val="19"/>
          <w:szCs w:val="19"/>
        </w:rPr>
        <w:t xml:space="preserve"> zł </w:t>
      </w:r>
      <w:r>
        <w:rPr>
          <w:rFonts w:cs="Tahoma"/>
          <w:sz w:val="19"/>
          <w:szCs w:val="19"/>
        </w:rPr>
        <w:t>(</w:t>
      </w:r>
      <w:proofErr w:type="spellStart"/>
      <w:r>
        <w:rPr>
          <w:rFonts w:cs="Tahoma"/>
          <w:sz w:val="19"/>
          <w:szCs w:val="19"/>
        </w:rPr>
        <w:t>zwol</w:t>
      </w:r>
      <w:proofErr w:type="spellEnd"/>
      <w:r>
        <w:rPr>
          <w:rFonts w:cs="Tahoma"/>
          <w:sz w:val="19"/>
          <w:szCs w:val="19"/>
        </w:rPr>
        <w:t xml:space="preserve">. z VAT na podst. Art. 43 ust 1 pkt 10 ustawy </w:t>
      </w:r>
      <w:r>
        <w:rPr>
          <w:rFonts w:cs="Tahoma"/>
          <w:sz w:val="19"/>
          <w:szCs w:val="19"/>
        </w:rPr>
        <w:br/>
        <w:t>o podatku od towarów i usług)</w:t>
      </w:r>
    </w:p>
    <w:p w:rsidR="00BF1AE1" w:rsidRDefault="00EF658D">
      <w:pPr>
        <w:pStyle w:val="Standard"/>
        <w:numPr>
          <w:ilvl w:val="0"/>
          <w:numId w:val="1"/>
        </w:numPr>
        <w:jc w:val="both"/>
      </w:pPr>
      <w:r>
        <w:rPr>
          <w:b/>
          <w:bCs/>
          <w:sz w:val="19"/>
          <w:szCs w:val="19"/>
        </w:rPr>
        <w:t>Wadium: 620 000,00 zł (wniesione w pieniądzu)</w:t>
      </w:r>
    </w:p>
    <w:p w:rsidR="001F53E7" w:rsidRDefault="00EF658D">
      <w:pPr>
        <w:pStyle w:val="Standard"/>
        <w:jc w:val="both"/>
        <w:rPr>
          <w:b/>
          <w:bCs/>
          <w:sz w:val="19"/>
          <w:szCs w:val="19"/>
        </w:rPr>
      </w:pPr>
      <w:r>
        <w:rPr>
          <w:b/>
          <w:bCs/>
          <w:sz w:val="19"/>
          <w:szCs w:val="19"/>
        </w:rPr>
        <w:t xml:space="preserve">Opis nieruchomości: </w:t>
      </w:r>
    </w:p>
    <w:p w:rsidR="00BF1AE1" w:rsidRDefault="00EF658D">
      <w:pPr>
        <w:pStyle w:val="Standard"/>
        <w:jc w:val="both"/>
      </w:pPr>
      <w:r>
        <w:rPr>
          <w:sz w:val="20"/>
          <w:szCs w:val="20"/>
        </w:rPr>
        <w:t xml:space="preserve">Działka nr 1464/450 zabudowana 37 budynkami  produkcyjno-magazynowymi i administracyjno-socjalnymi (ustęp, kotłownia, biuro): </w:t>
      </w:r>
    </w:p>
    <w:p w:rsidR="001F53E7" w:rsidRDefault="00EF658D">
      <w:pPr>
        <w:pStyle w:val="Standard"/>
        <w:jc w:val="both"/>
        <w:rPr>
          <w:rFonts w:cs="Tahoma"/>
          <w:sz w:val="20"/>
          <w:szCs w:val="20"/>
        </w:rPr>
      </w:pPr>
      <w:r>
        <w:rPr>
          <w:rFonts w:cs="Tahoma"/>
          <w:sz w:val="20"/>
          <w:szCs w:val="20"/>
        </w:rPr>
        <w:t>C-1 – pow. użytkowa 37,74  m</w:t>
      </w:r>
      <w:r>
        <w:rPr>
          <w:rFonts w:cs="Tahoma"/>
          <w:sz w:val="20"/>
          <w:szCs w:val="20"/>
          <w:vertAlign w:val="superscript"/>
        </w:rPr>
        <w:t>2</w:t>
      </w:r>
      <w:r>
        <w:rPr>
          <w:rFonts w:cs="Tahoma"/>
          <w:sz w:val="20"/>
          <w:szCs w:val="20"/>
        </w:rPr>
        <w:t>, C-2 – pow. użytkowa 339,75  m</w:t>
      </w:r>
      <w:r>
        <w:rPr>
          <w:rFonts w:cs="Tahoma"/>
          <w:sz w:val="20"/>
          <w:szCs w:val="20"/>
          <w:vertAlign w:val="superscript"/>
        </w:rPr>
        <w:t>2</w:t>
      </w:r>
      <w:r>
        <w:rPr>
          <w:rFonts w:cs="Tahoma"/>
          <w:sz w:val="20"/>
          <w:szCs w:val="20"/>
        </w:rPr>
        <w:t>, C-3 – pow. użytkowa 362,16 m</w:t>
      </w:r>
      <w:r>
        <w:rPr>
          <w:rFonts w:cs="Tahoma"/>
          <w:sz w:val="20"/>
          <w:szCs w:val="20"/>
          <w:vertAlign w:val="superscript"/>
        </w:rPr>
        <w:t>2</w:t>
      </w:r>
      <w:r>
        <w:rPr>
          <w:rFonts w:cs="Tahoma"/>
          <w:sz w:val="20"/>
          <w:szCs w:val="20"/>
        </w:rPr>
        <w:t>, C-4 – pow. użytkowa 97,20m</w:t>
      </w:r>
      <w:r>
        <w:rPr>
          <w:rFonts w:cs="Tahoma"/>
          <w:sz w:val="20"/>
          <w:szCs w:val="20"/>
          <w:vertAlign w:val="superscript"/>
        </w:rPr>
        <w:t>2</w:t>
      </w:r>
      <w:r>
        <w:rPr>
          <w:rFonts w:cs="Tahoma"/>
          <w:sz w:val="20"/>
          <w:szCs w:val="20"/>
        </w:rPr>
        <w:t>, C-5 – pow. użytkowa 97,20 m</w:t>
      </w:r>
      <w:r>
        <w:rPr>
          <w:rFonts w:cs="Tahoma"/>
          <w:sz w:val="20"/>
          <w:szCs w:val="20"/>
          <w:vertAlign w:val="superscript"/>
        </w:rPr>
        <w:t>2</w:t>
      </w:r>
      <w:r>
        <w:rPr>
          <w:rFonts w:cs="Tahoma"/>
          <w:sz w:val="20"/>
          <w:szCs w:val="20"/>
        </w:rPr>
        <w:t>, C-7 – pow. użytkowa 239,94 m</w:t>
      </w:r>
      <w:r>
        <w:rPr>
          <w:rFonts w:cs="Tahoma"/>
          <w:sz w:val="20"/>
          <w:szCs w:val="20"/>
          <w:vertAlign w:val="superscript"/>
        </w:rPr>
        <w:t>2</w:t>
      </w:r>
      <w:r>
        <w:rPr>
          <w:rFonts w:cs="Tahoma"/>
          <w:sz w:val="20"/>
          <w:szCs w:val="20"/>
        </w:rPr>
        <w:t>, D 12 – pow. użytkowa 42,62 m</w:t>
      </w:r>
      <w:r>
        <w:rPr>
          <w:rFonts w:cs="Tahoma"/>
          <w:sz w:val="20"/>
          <w:szCs w:val="20"/>
          <w:vertAlign w:val="superscript"/>
        </w:rPr>
        <w:t>2</w:t>
      </w:r>
      <w:r>
        <w:rPr>
          <w:rFonts w:cs="Tahoma"/>
          <w:sz w:val="20"/>
          <w:szCs w:val="20"/>
        </w:rPr>
        <w:t>, NG 28– pow. użytkowa 88,32 m</w:t>
      </w:r>
      <w:r>
        <w:rPr>
          <w:rFonts w:cs="Tahoma"/>
          <w:sz w:val="20"/>
          <w:szCs w:val="20"/>
          <w:vertAlign w:val="superscript"/>
        </w:rPr>
        <w:t>2</w:t>
      </w:r>
      <w:r>
        <w:rPr>
          <w:rFonts w:cs="Tahoma"/>
          <w:sz w:val="20"/>
          <w:szCs w:val="20"/>
        </w:rPr>
        <w:t>, budynki magazynowe bez numeru- pow. użytkowa 163,25m</w:t>
      </w:r>
      <w:r>
        <w:rPr>
          <w:rFonts w:cs="Tahoma"/>
          <w:sz w:val="20"/>
          <w:szCs w:val="20"/>
          <w:vertAlign w:val="superscript"/>
        </w:rPr>
        <w:t>2</w:t>
      </w:r>
      <w:r>
        <w:rPr>
          <w:rFonts w:cs="Tahoma"/>
          <w:sz w:val="20"/>
          <w:szCs w:val="20"/>
        </w:rPr>
        <w:t>, 148,63 m</w:t>
      </w:r>
      <w:r>
        <w:rPr>
          <w:rFonts w:cs="Tahoma"/>
          <w:sz w:val="20"/>
          <w:szCs w:val="20"/>
          <w:vertAlign w:val="superscript"/>
        </w:rPr>
        <w:t xml:space="preserve">2 </w:t>
      </w:r>
      <w:r>
        <w:rPr>
          <w:rFonts w:cs="Tahoma"/>
          <w:sz w:val="20"/>
          <w:szCs w:val="20"/>
        </w:rPr>
        <w:t>i 82,80m</w:t>
      </w:r>
      <w:r>
        <w:rPr>
          <w:rFonts w:cs="Tahoma"/>
          <w:sz w:val="20"/>
          <w:szCs w:val="20"/>
          <w:vertAlign w:val="superscript"/>
        </w:rPr>
        <w:t>2</w:t>
      </w:r>
      <w:r>
        <w:rPr>
          <w:rFonts w:cs="Tahoma"/>
          <w:sz w:val="20"/>
          <w:szCs w:val="20"/>
        </w:rPr>
        <w:t>, C-8 – pow. użytkowa 66,46  m</w:t>
      </w:r>
      <w:r>
        <w:rPr>
          <w:rFonts w:cs="Tahoma"/>
          <w:sz w:val="20"/>
          <w:szCs w:val="20"/>
          <w:vertAlign w:val="superscript"/>
        </w:rPr>
        <w:t>2</w:t>
      </w:r>
      <w:r>
        <w:rPr>
          <w:rFonts w:cs="Tahoma"/>
          <w:sz w:val="20"/>
          <w:szCs w:val="20"/>
        </w:rPr>
        <w:t>, C-9 – pow. użytkowa 41,54 m</w:t>
      </w:r>
      <w:r>
        <w:rPr>
          <w:rFonts w:cs="Tahoma"/>
          <w:sz w:val="20"/>
          <w:szCs w:val="20"/>
          <w:vertAlign w:val="superscript"/>
        </w:rPr>
        <w:t>2</w:t>
      </w:r>
      <w:r>
        <w:rPr>
          <w:rFonts w:cs="Tahoma"/>
          <w:sz w:val="20"/>
          <w:szCs w:val="20"/>
        </w:rPr>
        <w:t>, C-10 – pow. użytkowa 59,93  m</w:t>
      </w:r>
      <w:r>
        <w:rPr>
          <w:rFonts w:cs="Tahoma"/>
          <w:sz w:val="20"/>
          <w:szCs w:val="20"/>
          <w:vertAlign w:val="superscript"/>
        </w:rPr>
        <w:t>2</w:t>
      </w:r>
      <w:r>
        <w:rPr>
          <w:rFonts w:cs="Tahoma"/>
          <w:sz w:val="20"/>
          <w:szCs w:val="20"/>
        </w:rPr>
        <w:t xml:space="preserve">, C-27 – pow. użytkowa </w:t>
      </w:r>
      <w:r w:rsidR="005E46BD">
        <w:rPr>
          <w:rFonts w:cs="Tahoma"/>
          <w:sz w:val="20"/>
          <w:szCs w:val="20"/>
        </w:rPr>
        <w:br/>
      </w:r>
      <w:r>
        <w:rPr>
          <w:rFonts w:cs="Tahoma"/>
          <w:sz w:val="20"/>
          <w:szCs w:val="20"/>
        </w:rPr>
        <w:t>130,60  m</w:t>
      </w:r>
      <w:r>
        <w:rPr>
          <w:rFonts w:cs="Tahoma"/>
          <w:sz w:val="20"/>
          <w:szCs w:val="20"/>
          <w:vertAlign w:val="superscript"/>
        </w:rPr>
        <w:t>2</w:t>
      </w:r>
      <w:r>
        <w:rPr>
          <w:rFonts w:cs="Tahoma"/>
          <w:sz w:val="20"/>
          <w:szCs w:val="20"/>
        </w:rPr>
        <w:t>, C-28 – pow. użytkowa 38,09  m</w:t>
      </w:r>
      <w:r>
        <w:rPr>
          <w:rFonts w:cs="Tahoma"/>
          <w:sz w:val="20"/>
          <w:szCs w:val="20"/>
          <w:vertAlign w:val="superscript"/>
        </w:rPr>
        <w:t>2</w:t>
      </w:r>
      <w:r>
        <w:rPr>
          <w:rFonts w:cs="Tahoma"/>
          <w:sz w:val="20"/>
          <w:szCs w:val="20"/>
        </w:rPr>
        <w:t>,  C-11 – pow. użytkowa 22,00  m</w:t>
      </w:r>
      <w:r>
        <w:rPr>
          <w:rFonts w:cs="Tahoma"/>
          <w:sz w:val="20"/>
          <w:szCs w:val="20"/>
          <w:vertAlign w:val="superscript"/>
        </w:rPr>
        <w:t>2</w:t>
      </w:r>
      <w:r>
        <w:rPr>
          <w:rFonts w:cs="Tahoma"/>
          <w:sz w:val="20"/>
          <w:szCs w:val="20"/>
        </w:rPr>
        <w:t>, C-12 – pow. użytkowa 145,45  m</w:t>
      </w:r>
      <w:r>
        <w:rPr>
          <w:rFonts w:cs="Tahoma"/>
          <w:sz w:val="20"/>
          <w:szCs w:val="20"/>
          <w:vertAlign w:val="superscript"/>
        </w:rPr>
        <w:t>2</w:t>
      </w:r>
      <w:r>
        <w:rPr>
          <w:rFonts w:cs="Tahoma"/>
          <w:sz w:val="20"/>
          <w:szCs w:val="20"/>
        </w:rPr>
        <w:t>, C-13 – pow. użytkowa 64,50  m</w:t>
      </w:r>
      <w:r>
        <w:rPr>
          <w:rFonts w:cs="Tahoma"/>
          <w:sz w:val="20"/>
          <w:szCs w:val="20"/>
          <w:vertAlign w:val="superscript"/>
        </w:rPr>
        <w:t>2</w:t>
      </w:r>
      <w:r>
        <w:rPr>
          <w:rFonts w:cs="Tahoma"/>
          <w:sz w:val="20"/>
          <w:szCs w:val="20"/>
        </w:rPr>
        <w:t>, C-14 – pow. użytkowa 284,61 m</w:t>
      </w:r>
      <w:r>
        <w:rPr>
          <w:rFonts w:cs="Tahoma"/>
          <w:sz w:val="20"/>
          <w:szCs w:val="20"/>
          <w:vertAlign w:val="superscript"/>
        </w:rPr>
        <w:t>2</w:t>
      </w:r>
      <w:r>
        <w:rPr>
          <w:rFonts w:cs="Tahoma"/>
          <w:sz w:val="20"/>
          <w:szCs w:val="20"/>
        </w:rPr>
        <w:t>, C-200 – pow. użytkowa 80,62  m</w:t>
      </w:r>
      <w:r>
        <w:rPr>
          <w:rFonts w:cs="Tahoma"/>
          <w:sz w:val="20"/>
          <w:szCs w:val="20"/>
          <w:vertAlign w:val="superscript"/>
        </w:rPr>
        <w:t>2</w:t>
      </w:r>
      <w:r>
        <w:rPr>
          <w:rFonts w:cs="Tahoma"/>
          <w:sz w:val="20"/>
          <w:szCs w:val="20"/>
        </w:rPr>
        <w:t>, C-216 – pow. użytkowa 77,53 m</w:t>
      </w:r>
      <w:r>
        <w:rPr>
          <w:rFonts w:cs="Tahoma"/>
          <w:sz w:val="20"/>
          <w:szCs w:val="20"/>
          <w:vertAlign w:val="superscript"/>
        </w:rPr>
        <w:t xml:space="preserve">2 </w:t>
      </w:r>
      <w:r>
        <w:rPr>
          <w:rFonts w:cs="Tahoma"/>
          <w:sz w:val="20"/>
          <w:szCs w:val="20"/>
        </w:rPr>
        <w:t>, C-114 – pow. użytkowa 238,94m</w:t>
      </w:r>
      <w:r>
        <w:rPr>
          <w:rFonts w:cs="Tahoma"/>
          <w:sz w:val="20"/>
          <w:szCs w:val="20"/>
          <w:vertAlign w:val="superscript"/>
        </w:rPr>
        <w:t>2</w:t>
      </w:r>
      <w:r>
        <w:rPr>
          <w:rFonts w:cs="Tahoma"/>
          <w:sz w:val="20"/>
          <w:szCs w:val="20"/>
        </w:rPr>
        <w:t xml:space="preserve"> , C-15 – pow. użytkowa 136,37  m</w:t>
      </w:r>
      <w:r>
        <w:rPr>
          <w:rFonts w:cs="Tahoma"/>
          <w:sz w:val="20"/>
          <w:szCs w:val="20"/>
          <w:vertAlign w:val="superscript"/>
        </w:rPr>
        <w:t>2</w:t>
      </w:r>
      <w:r>
        <w:rPr>
          <w:rFonts w:cs="Tahoma"/>
          <w:sz w:val="20"/>
          <w:szCs w:val="20"/>
        </w:rPr>
        <w:t>, C-31 – pow. użytkowa 7,00  m</w:t>
      </w:r>
      <w:r>
        <w:rPr>
          <w:rFonts w:cs="Tahoma"/>
          <w:sz w:val="20"/>
          <w:szCs w:val="20"/>
          <w:vertAlign w:val="superscript"/>
        </w:rPr>
        <w:t>2</w:t>
      </w:r>
      <w:r>
        <w:rPr>
          <w:rFonts w:cs="Tahoma"/>
          <w:sz w:val="20"/>
          <w:szCs w:val="20"/>
        </w:rPr>
        <w:t>, C-17 – pow. użytkowa 51,85  m</w:t>
      </w:r>
      <w:r>
        <w:rPr>
          <w:rFonts w:cs="Tahoma"/>
          <w:sz w:val="20"/>
          <w:szCs w:val="20"/>
          <w:vertAlign w:val="superscript"/>
        </w:rPr>
        <w:t>2</w:t>
      </w:r>
      <w:r>
        <w:rPr>
          <w:rFonts w:cs="Tahoma"/>
          <w:sz w:val="20"/>
          <w:szCs w:val="20"/>
        </w:rPr>
        <w:t>, C-25 – pow. użytkowa 130,00  m</w:t>
      </w:r>
      <w:r>
        <w:rPr>
          <w:rFonts w:cs="Tahoma"/>
          <w:sz w:val="20"/>
          <w:szCs w:val="20"/>
          <w:vertAlign w:val="superscript"/>
        </w:rPr>
        <w:t>2</w:t>
      </w:r>
      <w:r>
        <w:rPr>
          <w:rFonts w:cs="Tahoma"/>
          <w:sz w:val="20"/>
          <w:szCs w:val="20"/>
        </w:rPr>
        <w:t>, C-16A – pow. użytkowa 20,00 m</w:t>
      </w:r>
      <w:r>
        <w:rPr>
          <w:rFonts w:cs="Tahoma"/>
          <w:sz w:val="20"/>
          <w:szCs w:val="20"/>
          <w:vertAlign w:val="superscript"/>
        </w:rPr>
        <w:t>2</w:t>
      </w:r>
      <w:r>
        <w:rPr>
          <w:rFonts w:cs="Tahoma"/>
          <w:sz w:val="20"/>
          <w:szCs w:val="20"/>
        </w:rPr>
        <w:t>, C-116– pow. użytkowa 68,10 m</w:t>
      </w:r>
      <w:r>
        <w:rPr>
          <w:rFonts w:cs="Tahoma"/>
          <w:sz w:val="20"/>
          <w:szCs w:val="20"/>
          <w:vertAlign w:val="superscript"/>
        </w:rPr>
        <w:t>2</w:t>
      </w:r>
      <w:r>
        <w:rPr>
          <w:rFonts w:cs="Tahoma"/>
          <w:sz w:val="20"/>
          <w:szCs w:val="20"/>
        </w:rPr>
        <w:t>, C01 – pow. użytkowa 56,30  m</w:t>
      </w:r>
      <w:r>
        <w:rPr>
          <w:rFonts w:cs="Tahoma"/>
          <w:sz w:val="20"/>
          <w:szCs w:val="20"/>
          <w:vertAlign w:val="superscript"/>
        </w:rPr>
        <w:t>2</w:t>
      </w:r>
      <w:r>
        <w:rPr>
          <w:rFonts w:cs="Tahoma"/>
          <w:sz w:val="20"/>
          <w:szCs w:val="20"/>
        </w:rPr>
        <w:t>, C-217 – pow. użytkowa 24,50  m</w:t>
      </w:r>
      <w:r>
        <w:rPr>
          <w:rFonts w:cs="Tahoma"/>
          <w:sz w:val="20"/>
          <w:szCs w:val="20"/>
          <w:vertAlign w:val="superscript"/>
        </w:rPr>
        <w:t>2</w:t>
      </w:r>
      <w:r>
        <w:rPr>
          <w:rFonts w:cs="Tahoma"/>
          <w:sz w:val="20"/>
          <w:szCs w:val="20"/>
        </w:rPr>
        <w:t>, C-23 – pow. użytkowa 38,65  m</w:t>
      </w:r>
      <w:r>
        <w:rPr>
          <w:rFonts w:cs="Tahoma"/>
          <w:sz w:val="20"/>
          <w:szCs w:val="20"/>
          <w:vertAlign w:val="superscript"/>
        </w:rPr>
        <w:t>2</w:t>
      </w:r>
      <w:r>
        <w:rPr>
          <w:rFonts w:cs="Tahoma"/>
          <w:sz w:val="20"/>
          <w:szCs w:val="20"/>
        </w:rPr>
        <w:t>, C-24 – pow. użytkowa 69,65  m</w:t>
      </w:r>
      <w:r>
        <w:rPr>
          <w:rFonts w:cs="Tahoma"/>
          <w:sz w:val="20"/>
          <w:szCs w:val="20"/>
          <w:vertAlign w:val="superscript"/>
        </w:rPr>
        <w:t>2</w:t>
      </w:r>
      <w:r>
        <w:rPr>
          <w:rFonts w:cs="Tahoma"/>
          <w:sz w:val="20"/>
          <w:szCs w:val="20"/>
        </w:rPr>
        <w:t>, C-33 – pow. użytkowa 7,00  m</w:t>
      </w:r>
      <w:r>
        <w:rPr>
          <w:rFonts w:cs="Tahoma"/>
          <w:sz w:val="20"/>
          <w:szCs w:val="20"/>
          <w:vertAlign w:val="superscript"/>
        </w:rPr>
        <w:t>2</w:t>
      </w:r>
      <w:r>
        <w:rPr>
          <w:rFonts w:cs="Tahoma"/>
          <w:sz w:val="20"/>
          <w:szCs w:val="20"/>
        </w:rPr>
        <w:t>, C-21 – pow. użytkowa 91,05 m</w:t>
      </w:r>
      <w:r>
        <w:rPr>
          <w:rFonts w:cs="Tahoma"/>
          <w:sz w:val="20"/>
          <w:szCs w:val="20"/>
          <w:vertAlign w:val="superscript"/>
        </w:rPr>
        <w:t>2</w:t>
      </w:r>
      <w:r>
        <w:rPr>
          <w:rFonts w:cs="Tahoma"/>
          <w:sz w:val="20"/>
          <w:szCs w:val="20"/>
        </w:rPr>
        <w:t xml:space="preserve">, C-20 – pow. użytkowa </w:t>
      </w:r>
      <w:r w:rsidR="005E46BD">
        <w:rPr>
          <w:rFonts w:cs="Tahoma"/>
          <w:sz w:val="20"/>
          <w:szCs w:val="20"/>
        </w:rPr>
        <w:br/>
      </w:r>
      <w:r>
        <w:rPr>
          <w:rFonts w:cs="Tahoma"/>
          <w:sz w:val="20"/>
          <w:szCs w:val="20"/>
        </w:rPr>
        <w:t>26,00 m</w:t>
      </w:r>
      <w:r>
        <w:rPr>
          <w:rFonts w:cs="Tahoma"/>
          <w:sz w:val="20"/>
          <w:szCs w:val="20"/>
          <w:vertAlign w:val="superscript"/>
        </w:rPr>
        <w:t>2</w:t>
      </w:r>
      <w:r>
        <w:rPr>
          <w:rFonts w:cs="Tahoma"/>
          <w:sz w:val="20"/>
          <w:szCs w:val="20"/>
        </w:rPr>
        <w:t>, C-19 – pow. użytkowa  65,70  m</w:t>
      </w:r>
      <w:r>
        <w:rPr>
          <w:rFonts w:cs="Tahoma"/>
          <w:sz w:val="20"/>
          <w:szCs w:val="20"/>
          <w:vertAlign w:val="superscript"/>
        </w:rPr>
        <w:t>2</w:t>
      </w:r>
      <w:r>
        <w:rPr>
          <w:rFonts w:cs="Tahoma"/>
          <w:sz w:val="20"/>
          <w:szCs w:val="20"/>
        </w:rPr>
        <w:t>, C-32 – pow. użytkowa 7,00 m</w:t>
      </w:r>
      <w:r>
        <w:rPr>
          <w:rFonts w:cs="Tahoma"/>
          <w:sz w:val="20"/>
          <w:szCs w:val="20"/>
          <w:vertAlign w:val="superscript"/>
        </w:rPr>
        <w:t>2</w:t>
      </w:r>
      <w:r>
        <w:rPr>
          <w:rFonts w:cs="Tahoma"/>
          <w:sz w:val="20"/>
          <w:szCs w:val="20"/>
        </w:rPr>
        <w:t>, C-60 – pow. użytkowa 108,02  m</w:t>
      </w:r>
      <w:r>
        <w:rPr>
          <w:rFonts w:cs="Tahoma"/>
          <w:sz w:val="20"/>
          <w:szCs w:val="20"/>
          <w:vertAlign w:val="superscript"/>
        </w:rPr>
        <w:t>2</w:t>
      </w:r>
      <w:r>
        <w:rPr>
          <w:rFonts w:cs="Tahoma"/>
          <w:sz w:val="20"/>
          <w:szCs w:val="20"/>
        </w:rPr>
        <w:t>.</w:t>
      </w:r>
    </w:p>
    <w:p w:rsidR="00BF1AE1" w:rsidRDefault="00EF658D">
      <w:pPr>
        <w:pStyle w:val="Standard"/>
        <w:jc w:val="both"/>
      </w:pPr>
      <w:r>
        <w:rPr>
          <w:rFonts w:cs="Tahoma"/>
          <w:sz w:val="20"/>
          <w:szCs w:val="20"/>
        </w:rPr>
        <w:t xml:space="preserve">Teren </w:t>
      </w:r>
      <w:r w:rsidR="001F53E7">
        <w:rPr>
          <w:rFonts w:cs="Tahoma"/>
          <w:sz w:val="20"/>
          <w:szCs w:val="20"/>
        </w:rPr>
        <w:t xml:space="preserve">jest nieuporządkowany, </w:t>
      </w:r>
      <w:r>
        <w:rPr>
          <w:rFonts w:cs="Tahoma"/>
          <w:sz w:val="20"/>
          <w:szCs w:val="20"/>
        </w:rPr>
        <w:t>w większości</w:t>
      </w:r>
      <w:r w:rsidR="001F53E7">
        <w:rPr>
          <w:rFonts w:cs="Tahoma"/>
          <w:sz w:val="20"/>
          <w:szCs w:val="20"/>
        </w:rPr>
        <w:t xml:space="preserve"> nieogrodzony</w:t>
      </w:r>
      <w:r>
        <w:rPr>
          <w:rFonts w:cs="Tahoma"/>
          <w:sz w:val="20"/>
          <w:szCs w:val="20"/>
        </w:rPr>
        <w:t>. Teren przemysłowo- leśny -</w:t>
      </w:r>
      <w:r w:rsidR="001F53E7">
        <w:rPr>
          <w:rFonts w:cs="Tahoma"/>
          <w:sz w:val="20"/>
          <w:szCs w:val="20"/>
        </w:rPr>
        <w:t xml:space="preserve"> </w:t>
      </w:r>
      <w:r>
        <w:rPr>
          <w:rFonts w:cs="Tahoma"/>
          <w:sz w:val="20"/>
          <w:szCs w:val="20"/>
        </w:rPr>
        <w:t xml:space="preserve">Ba- 6,8054 ha,  </w:t>
      </w:r>
      <w:proofErr w:type="spellStart"/>
      <w:r>
        <w:rPr>
          <w:rFonts w:cs="Tahoma"/>
          <w:sz w:val="20"/>
          <w:szCs w:val="20"/>
        </w:rPr>
        <w:t>Ls</w:t>
      </w:r>
      <w:proofErr w:type="spellEnd"/>
      <w:r>
        <w:rPr>
          <w:rFonts w:cs="Tahoma"/>
          <w:sz w:val="20"/>
          <w:szCs w:val="20"/>
        </w:rPr>
        <w:t xml:space="preserve"> – 26,6515ha. Przez działkę pomiędzy drogami wewnętrznymi przebiegają ciągi jezdne. Działka jest zalesiona  drzewostanem </w:t>
      </w:r>
      <w:r w:rsidR="005E46BD">
        <w:rPr>
          <w:rFonts w:cs="Tahoma"/>
          <w:sz w:val="20"/>
          <w:szCs w:val="20"/>
        </w:rPr>
        <w:br/>
      </w:r>
      <w:r>
        <w:rPr>
          <w:rFonts w:cs="Tahoma"/>
          <w:sz w:val="20"/>
          <w:szCs w:val="20"/>
        </w:rPr>
        <w:t>w przewadze sosnowym w wieku 80-120 lat skupiska drzew w wieku 25-40 lat oraz znajdują się liczne  zakrzewienia. Działka nr 1464/450 posiada dostęp do sieci: linii elektrycznej, wodociągowej i kanalizacji, na działce zlokalizowana jest linia przesyłowa  sieci ciepłowniczej, również przebiegają przyłącza tych sieci  do poszczególnych budynków,  część tych przyłączy jest nieczynna. Na działce znajdują się pozostałości po wyburzonych budynkach lub ich fragmentach.</w:t>
      </w:r>
    </w:p>
    <w:p w:rsidR="00BF1AE1" w:rsidRDefault="00EF658D">
      <w:pPr>
        <w:pStyle w:val="Standard"/>
        <w:tabs>
          <w:tab w:val="left" w:pos="360"/>
        </w:tabs>
        <w:jc w:val="both"/>
      </w:pPr>
      <w:r>
        <w:rPr>
          <w:sz w:val="20"/>
          <w:szCs w:val="20"/>
        </w:rPr>
        <w:t>Stan techniczny większości budynków oceniony jest jako zły, budynki zdewastowane, wymagające generalnego remontu, instalacje zdewastowane.</w:t>
      </w:r>
    </w:p>
    <w:p w:rsidR="00BF1AE1" w:rsidRDefault="00EF658D">
      <w:pPr>
        <w:pStyle w:val="Standard"/>
        <w:jc w:val="both"/>
      </w:pPr>
      <w:r>
        <w:rPr>
          <w:sz w:val="20"/>
          <w:szCs w:val="20"/>
        </w:rPr>
        <w:t xml:space="preserve">Dostęp dz. nr 1464/450 do drogi publicznej zapewniony będzie przez dz. nr: </w:t>
      </w:r>
      <w:r>
        <w:rPr>
          <w:rFonts w:eastAsia="Times New Roman" w:cs="Times New Roman"/>
          <w:sz w:val="20"/>
          <w:szCs w:val="20"/>
          <w:lang w:eastAsia="hi-IN"/>
        </w:rPr>
        <w:t>1464/167,</w:t>
      </w:r>
      <w:r w:rsidR="001F53E7">
        <w:rPr>
          <w:rFonts w:eastAsia="Times New Roman" w:cs="Times New Roman"/>
          <w:sz w:val="20"/>
          <w:szCs w:val="20"/>
          <w:lang w:eastAsia="hi-IN"/>
        </w:rPr>
        <w:t xml:space="preserve"> </w:t>
      </w:r>
      <w:r>
        <w:rPr>
          <w:rFonts w:eastAsia="Times New Roman" w:cs="Times New Roman"/>
          <w:sz w:val="20"/>
          <w:szCs w:val="20"/>
          <w:lang w:eastAsia="hi-IN"/>
        </w:rPr>
        <w:t>1464/31,</w:t>
      </w:r>
      <w:r w:rsidR="001F53E7">
        <w:rPr>
          <w:rFonts w:eastAsia="Times New Roman" w:cs="Times New Roman"/>
          <w:sz w:val="20"/>
          <w:szCs w:val="20"/>
          <w:lang w:eastAsia="hi-IN"/>
        </w:rPr>
        <w:t xml:space="preserve"> </w:t>
      </w:r>
      <w:r>
        <w:rPr>
          <w:rFonts w:eastAsia="Times New Roman" w:cs="Times New Roman"/>
          <w:sz w:val="20"/>
          <w:szCs w:val="20"/>
          <w:lang w:eastAsia="hi-IN"/>
        </w:rPr>
        <w:t>1464/90,</w:t>
      </w:r>
      <w:r w:rsidR="001F53E7">
        <w:rPr>
          <w:rFonts w:eastAsia="Times New Roman" w:cs="Times New Roman"/>
          <w:sz w:val="20"/>
          <w:szCs w:val="20"/>
          <w:lang w:eastAsia="hi-IN"/>
        </w:rPr>
        <w:t xml:space="preserve"> </w:t>
      </w:r>
      <w:r>
        <w:rPr>
          <w:rFonts w:eastAsia="Times New Roman" w:cs="Times New Roman"/>
          <w:sz w:val="20"/>
          <w:szCs w:val="20"/>
          <w:lang w:eastAsia="hi-IN"/>
        </w:rPr>
        <w:t>1464/36</w:t>
      </w:r>
      <w:r w:rsidR="001F53E7">
        <w:rPr>
          <w:rFonts w:eastAsia="Times New Roman" w:cs="Times New Roman"/>
          <w:sz w:val="20"/>
          <w:szCs w:val="20"/>
          <w:lang w:eastAsia="hi-IN"/>
        </w:rPr>
        <w:t>,</w:t>
      </w:r>
      <w:r>
        <w:rPr>
          <w:rFonts w:eastAsia="Times New Roman" w:cs="Times New Roman"/>
          <w:sz w:val="20"/>
          <w:szCs w:val="20"/>
          <w:lang w:eastAsia="hi-IN"/>
        </w:rPr>
        <w:t xml:space="preserve"> 1464/71, 1464/33, 1464/166</w:t>
      </w:r>
      <w:r w:rsidR="001F53E7">
        <w:rPr>
          <w:rFonts w:eastAsia="Times New Roman" w:cs="Times New Roman"/>
          <w:sz w:val="20"/>
          <w:szCs w:val="20"/>
          <w:lang w:eastAsia="hi-IN"/>
        </w:rPr>
        <w:t xml:space="preserve"> i </w:t>
      </w:r>
      <w:r>
        <w:rPr>
          <w:rFonts w:eastAsia="Times New Roman" w:cs="Times New Roman"/>
          <w:sz w:val="20"/>
          <w:szCs w:val="20"/>
          <w:lang w:eastAsia="hi-IN"/>
        </w:rPr>
        <w:t xml:space="preserve">1464/110, stanowiące drogi wewnętrzne. </w:t>
      </w:r>
    </w:p>
    <w:p w:rsidR="00BF1AE1" w:rsidRDefault="00EF658D">
      <w:pPr>
        <w:pStyle w:val="Zawartotabeli"/>
        <w:jc w:val="both"/>
      </w:pPr>
      <w:r>
        <w:rPr>
          <w:rFonts w:eastAsia="Times New Roman" w:cs="Times New Roman"/>
          <w:sz w:val="20"/>
          <w:szCs w:val="20"/>
          <w:lang w:eastAsia="hi-IN"/>
        </w:rPr>
        <w:t>Dzi</w:t>
      </w:r>
      <w:r>
        <w:rPr>
          <w:sz w:val="20"/>
          <w:szCs w:val="20"/>
        </w:rPr>
        <w:t>ałka nr 1464/72 zabudowana dwoma budynkami: budynek typu stróżówka- pow. użytkowa 7,38m</w:t>
      </w:r>
      <w:r>
        <w:rPr>
          <w:sz w:val="20"/>
          <w:szCs w:val="20"/>
          <w:vertAlign w:val="superscript"/>
        </w:rPr>
        <w:t>2</w:t>
      </w:r>
      <w:r>
        <w:rPr>
          <w:sz w:val="20"/>
          <w:szCs w:val="20"/>
        </w:rPr>
        <w:t xml:space="preserve"> i fragment budynku magazynowego o pow. użytkowej 25,92m</w:t>
      </w:r>
      <w:r>
        <w:rPr>
          <w:sz w:val="20"/>
          <w:szCs w:val="20"/>
          <w:vertAlign w:val="superscript"/>
        </w:rPr>
        <w:t>2</w:t>
      </w:r>
      <w:r>
        <w:rPr>
          <w:sz w:val="20"/>
          <w:szCs w:val="20"/>
        </w:rPr>
        <w:t xml:space="preserve">. Stopień zużycia  technicznego budynków – 80%. Na działce znajdują się pozostałości po wyburzonych budynkach,, fundamenty ogrodzeń, studzienki kanalizacyjne  i wodociągowe oraz słupy z lampami oświetleniowym. Działka jest zalesiona, drzewostan mieszany z przewagą sosny. Teren przemysłowo- leśny -Ba- 0,5129 ha, </w:t>
      </w:r>
      <w:proofErr w:type="spellStart"/>
      <w:r>
        <w:rPr>
          <w:sz w:val="20"/>
          <w:szCs w:val="20"/>
        </w:rPr>
        <w:t>Ls</w:t>
      </w:r>
      <w:proofErr w:type="spellEnd"/>
      <w:r>
        <w:rPr>
          <w:sz w:val="20"/>
          <w:szCs w:val="20"/>
        </w:rPr>
        <w:t xml:space="preserve"> – 3,6592ha</w:t>
      </w:r>
      <w:r w:rsidR="001F53E7">
        <w:rPr>
          <w:sz w:val="20"/>
          <w:szCs w:val="20"/>
        </w:rPr>
        <w:t>, dr- 0,2176 ha</w:t>
      </w:r>
      <w:r>
        <w:rPr>
          <w:sz w:val="20"/>
          <w:szCs w:val="20"/>
        </w:rPr>
        <w:t xml:space="preserve">. Dostęp dz. nr 1464/72 do drogi publicznej zapewniony będzie przez dz. nr: </w:t>
      </w:r>
      <w:r>
        <w:rPr>
          <w:rFonts w:eastAsia="Times New Roman" w:cs="Times New Roman"/>
          <w:sz w:val="20"/>
          <w:szCs w:val="20"/>
          <w:lang w:eastAsia="hi-IN"/>
        </w:rPr>
        <w:t>1464/167, 1464/166, 1464/31, 1464/71</w:t>
      </w:r>
      <w:r w:rsidR="001F53E7">
        <w:rPr>
          <w:rFonts w:eastAsia="Times New Roman" w:cs="Times New Roman"/>
          <w:sz w:val="20"/>
          <w:szCs w:val="20"/>
          <w:lang w:eastAsia="hi-IN"/>
        </w:rPr>
        <w:t xml:space="preserve"> i</w:t>
      </w:r>
      <w:r>
        <w:rPr>
          <w:rFonts w:eastAsia="Times New Roman" w:cs="Times New Roman"/>
          <w:sz w:val="20"/>
          <w:szCs w:val="20"/>
          <w:lang w:eastAsia="hi-IN"/>
        </w:rPr>
        <w:t xml:space="preserve"> 1464/33, stanowiące drogi wewnętrzne.</w:t>
      </w:r>
    </w:p>
    <w:p w:rsidR="00BF1AE1" w:rsidRDefault="00BF1AE1">
      <w:pPr>
        <w:pStyle w:val="Standard"/>
        <w:jc w:val="both"/>
        <w:rPr>
          <w:b/>
          <w:bCs/>
          <w:sz w:val="19"/>
          <w:szCs w:val="19"/>
        </w:rPr>
      </w:pPr>
    </w:p>
    <w:p w:rsidR="00BF1AE1" w:rsidRDefault="00EF658D">
      <w:pPr>
        <w:pStyle w:val="Standard"/>
        <w:jc w:val="both"/>
      </w:pPr>
      <w:r>
        <w:rPr>
          <w:b/>
          <w:bCs/>
          <w:sz w:val="19"/>
          <w:szCs w:val="19"/>
        </w:rPr>
        <w:t>Przetarg odbędzie się w dniu 10</w:t>
      </w:r>
      <w:r w:rsidR="001F53E7">
        <w:rPr>
          <w:b/>
          <w:bCs/>
          <w:sz w:val="19"/>
          <w:szCs w:val="19"/>
        </w:rPr>
        <w:t xml:space="preserve"> lipca </w:t>
      </w:r>
      <w:r>
        <w:rPr>
          <w:b/>
          <w:bCs/>
          <w:sz w:val="19"/>
          <w:szCs w:val="19"/>
        </w:rPr>
        <w:t xml:space="preserve">2020 r.  o godz. 11 </w:t>
      </w:r>
      <w:r>
        <w:rPr>
          <w:b/>
          <w:bCs/>
          <w:sz w:val="19"/>
          <w:szCs w:val="19"/>
          <w:u w:val="single"/>
          <w:vertAlign w:val="superscript"/>
        </w:rPr>
        <w:t>00</w:t>
      </w:r>
      <w:r>
        <w:rPr>
          <w:b/>
          <w:bCs/>
          <w:sz w:val="19"/>
          <w:szCs w:val="19"/>
          <w:vertAlign w:val="superscript"/>
        </w:rPr>
        <w:t xml:space="preserve">  </w:t>
      </w:r>
      <w:r>
        <w:rPr>
          <w:b/>
          <w:bCs/>
          <w:sz w:val="19"/>
          <w:szCs w:val="19"/>
        </w:rPr>
        <w:t xml:space="preserve">w siedzibie Urzędu Miasta Pionki  Al. Jana Pawła II </w:t>
      </w:r>
      <w:r>
        <w:rPr>
          <w:b/>
          <w:bCs/>
          <w:sz w:val="19"/>
          <w:szCs w:val="19"/>
        </w:rPr>
        <w:br/>
        <w:t>Nr 15 ,  pok. nr 213.</w:t>
      </w:r>
    </w:p>
    <w:p w:rsidR="00BF1AE1" w:rsidRDefault="00EF658D">
      <w:pPr>
        <w:pStyle w:val="NormalnyWeb"/>
        <w:shd w:val="clear" w:color="auto" w:fill="FFFFFF"/>
        <w:spacing w:before="0" w:after="0"/>
        <w:jc w:val="both"/>
      </w:pPr>
      <w:r>
        <w:rPr>
          <w:color w:val="000000"/>
          <w:sz w:val="19"/>
          <w:szCs w:val="19"/>
          <w:shd w:val="clear" w:color="auto" w:fill="FFFFFF"/>
        </w:rPr>
        <w:lastRenderedPageBreak/>
        <w:t xml:space="preserve">W przetargu mogą wziąć udział osoby, które wpłacą wadium w podanej wyżej wysokości, </w:t>
      </w:r>
      <w:r>
        <w:rPr>
          <w:color w:val="000000"/>
          <w:sz w:val="19"/>
          <w:szCs w:val="19"/>
        </w:rPr>
        <w:t xml:space="preserve">w taki sposób, aby najpóźniej w dniu </w:t>
      </w:r>
      <w:r>
        <w:rPr>
          <w:b/>
          <w:bCs/>
          <w:color w:val="000000"/>
          <w:sz w:val="19"/>
          <w:szCs w:val="19"/>
        </w:rPr>
        <w:t>07</w:t>
      </w:r>
      <w:r w:rsidR="001F53E7">
        <w:rPr>
          <w:b/>
          <w:bCs/>
          <w:color w:val="000000"/>
          <w:sz w:val="19"/>
          <w:szCs w:val="19"/>
        </w:rPr>
        <w:t xml:space="preserve"> lipca </w:t>
      </w:r>
      <w:r>
        <w:rPr>
          <w:b/>
          <w:bCs/>
          <w:color w:val="000000"/>
          <w:sz w:val="19"/>
          <w:szCs w:val="19"/>
        </w:rPr>
        <w:t xml:space="preserve">2020 </w:t>
      </w:r>
      <w:r>
        <w:rPr>
          <w:rStyle w:val="Pogrubienie"/>
          <w:color w:val="000000"/>
          <w:sz w:val="19"/>
          <w:szCs w:val="19"/>
        </w:rPr>
        <w:t>r.</w:t>
      </w:r>
      <w:r>
        <w:rPr>
          <w:rStyle w:val="apple-converted-space"/>
          <w:b/>
          <w:bCs/>
          <w:color w:val="000000"/>
          <w:sz w:val="19"/>
          <w:szCs w:val="19"/>
        </w:rPr>
        <w:t> </w:t>
      </w:r>
      <w:r>
        <w:rPr>
          <w:b/>
          <w:bCs/>
          <w:color w:val="000000"/>
          <w:sz w:val="19"/>
          <w:szCs w:val="19"/>
        </w:rPr>
        <w:t>w</w:t>
      </w:r>
      <w:r>
        <w:rPr>
          <w:color w:val="000000"/>
          <w:sz w:val="19"/>
          <w:szCs w:val="19"/>
        </w:rPr>
        <w:t xml:space="preserve">adium znajdowało się na rachunku bankowym Miasta Pionki nr </w:t>
      </w:r>
      <w:r>
        <w:rPr>
          <w:b/>
          <w:bCs/>
          <w:sz w:val="19"/>
          <w:szCs w:val="19"/>
        </w:rPr>
        <w:t>04 9141 0005 0000 0231 2000 0100</w:t>
      </w:r>
      <w:r>
        <w:rPr>
          <w:color w:val="000000"/>
          <w:sz w:val="19"/>
          <w:szCs w:val="19"/>
        </w:rPr>
        <w:t>, pod  rygorem uznania, że warunek wpłaty wadium nie został spełniony.</w:t>
      </w:r>
    </w:p>
    <w:p w:rsidR="00BF1AE1" w:rsidRDefault="00EF658D">
      <w:pPr>
        <w:pStyle w:val="NormalnyWeb"/>
        <w:shd w:val="clear" w:color="auto" w:fill="FFFFFF"/>
        <w:spacing w:before="0" w:after="0"/>
        <w:jc w:val="both"/>
        <w:rPr>
          <w:sz w:val="19"/>
          <w:szCs w:val="19"/>
        </w:rPr>
      </w:pPr>
      <w:r>
        <w:rPr>
          <w:sz w:val="19"/>
          <w:szCs w:val="19"/>
        </w:rPr>
        <w:t xml:space="preserve">Przed otwarciem przetargu jego uczestnik winien przedłożyć komisji przetargowej dowód tożsamości. </w:t>
      </w:r>
      <w:r>
        <w:rPr>
          <w:sz w:val="19"/>
          <w:szCs w:val="19"/>
        </w:rPr>
        <w:br/>
      </w:r>
      <w:r>
        <w:rPr>
          <w:color w:val="000000"/>
          <w:sz w:val="19"/>
          <w:szCs w:val="19"/>
        </w:rPr>
        <w:t xml:space="preserve">W przypadku, gdy uczestnikiem przetargu jest osoba inna niż osoba fizyczna, osoba upoważniona do reprezentowania uczestnika powinna przedłożyć do wglądu aktualny wypis z Krajowego Rejestru Sądowego,  </w:t>
      </w:r>
      <w:r>
        <w:rPr>
          <w:color w:val="000000"/>
          <w:sz w:val="19"/>
          <w:szCs w:val="19"/>
        </w:rPr>
        <w:br/>
        <w:t>a osoba prowadząca działalność gospodarczą zaświadczenie o wpisie do ewidencji działalności gospodarczej.</w:t>
      </w:r>
    </w:p>
    <w:p w:rsidR="00BF1AE1" w:rsidRDefault="00EF658D">
      <w:pPr>
        <w:pStyle w:val="NormalnyWeb"/>
        <w:shd w:val="clear" w:color="auto" w:fill="FFFFFF"/>
        <w:spacing w:before="0" w:after="0"/>
        <w:jc w:val="both"/>
        <w:rPr>
          <w:color w:val="000000"/>
          <w:sz w:val="19"/>
          <w:szCs w:val="19"/>
        </w:rPr>
      </w:pPr>
      <w:r>
        <w:rPr>
          <w:color w:val="000000"/>
          <w:sz w:val="19"/>
          <w:szCs w:val="19"/>
        </w:rPr>
        <w:t>Jeżeli uczestnik jest reprezentowany przez pełnomocnika, konieczne jest przedłożenie oryginału pełnomocnictwa upoważniającego do działania na każdym etapie postępowania przetargowego.</w:t>
      </w:r>
    </w:p>
    <w:p w:rsidR="00BF1AE1" w:rsidRDefault="00EF658D">
      <w:pPr>
        <w:pStyle w:val="NormalnyWeb"/>
        <w:shd w:val="clear" w:color="auto" w:fill="FFFFFF"/>
        <w:spacing w:before="0" w:after="0"/>
        <w:jc w:val="both"/>
        <w:rPr>
          <w:sz w:val="19"/>
          <w:szCs w:val="19"/>
        </w:rPr>
      </w:pPr>
      <w:r>
        <w:rPr>
          <w:sz w:val="19"/>
          <w:szCs w:val="19"/>
        </w:rPr>
        <w:t>W przypadku małżeństw wymagana jest obecność obojga małżonków lub jednego z nich posiadającego   pisemne                                    upoważnienie współmałżonka do udziału w przetargu  i dokonywania postąpień.</w:t>
      </w:r>
    </w:p>
    <w:p w:rsidR="00BF1AE1" w:rsidRDefault="00EF658D">
      <w:pPr>
        <w:pStyle w:val="NormalnyWeb"/>
        <w:shd w:val="clear" w:color="auto" w:fill="FFFFFF"/>
        <w:spacing w:before="0" w:after="0"/>
        <w:jc w:val="both"/>
        <w:rPr>
          <w:sz w:val="19"/>
          <w:szCs w:val="19"/>
        </w:rPr>
      </w:pPr>
      <w:r>
        <w:rPr>
          <w:sz w:val="19"/>
          <w:szCs w:val="19"/>
        </w:rPr>
        <w:t>Wadium wpłacone przez uczestnika, który przetarg wygrał, zalicza się na poczet ceny nabycia nieruchomości.</w:t>
      </w:r>
      <w:r>
        <w:rPr>
          <w:sz w:val="19"/>
          <w:szCs w:val="19"/>
        </w:rPr>
        <w:br/>
        <w:t>Pozostałym uczestnikom przetargu wadium zostanie zwrócone  w ciągu 3 dni od odwołania, zamknięcia, unieważnienia lub zakończenia przetargu wynikiem negatywnym, w sposób odpowiadający formie wnoszenia.</w:t>
      </w:r>
      <w:r>
        <w:rPr>
          <w:color w:val="000000"/>
          <w:sz w:val="19"/>
          <w:szCs w:val="19"/>
          <w:shd w:val="clear" w:color="auto" w:fill="FFFFFF"/>
        </w:rPr>
        <w:t xml:space="preserve"> Przetarg jest ważny bez względu na liczbę uczestników przetargu, jeżeli przynajmniej jeden uczestnik zaoferuje co najmniej jedno postąpienie powyżej ceny wywoławczej. O wysokości postąpienia decydują uczestnicy przetargu,  z tym że postąpienie nie może wynosić mniej niż 1% ceny wywoławczej, z zaokrągleniem w górę do pełnych dziesiątek złotych. </w:t>
      </w:r>
      <w:r>
        <w:rPr>
          <w:sz w:val="19"/>
          <w:szCs w:val="19"/>
        </w:rPr>
        <w:t>Cena nieruchomości ustalona w przetargu podlega zapłacie nie później niż do dnia zawarcia umowy przenoszącej własność. O terminie zawarcia umowy notarialnej nabywca zostanie zawiadomiony w terminie do 21 dni od dnia rozstrzygnięcia przetargu. Jeżeli osoba ustalona jako nabywca nieruchomości nie przystąpi bez usprawiedliwienia do zawarcia umowy w miejscu i w terminie podanym w zawiadomieniu, organizator przetargu może odstąpić od zawarcia umowy, a wpłacone wadium nie podlega zwrotowi.</w:t>
      </w:r>
    </w:p>
    <w:p w:rsidR="00BF1AE1" w:rsidRDefault="00EF658D">
      <w:pPr>
        <w:pStyle w:val="Standard"/>
        <w:tabs>
          <w:tab w:val="left" w:pos="720"/>
        </w:tabs>
        <w:jc w:val="both"/>
        <w:rPr>
          <w:sz w:val="19"/>
          <w:szCs w:val="19"/>
        </w:rPr>
      </w:pPr>
      <w:r>
        <w:rPr>
          <w:sz w:val="19"/>
          <w:szCs w:val="19"/>
        </w:rPr>
        <w:t>Wszelkie koszty związane z nabyciem nieruchomości ponosi Nabywca nieruchomości.</w:t>
      </w:r>
    </w:p>
    <w:p w:rsidR="00BF1AE1" w:rsidRDefault="00EF658D">
      <w:pPr>
        <w:pStyle w:val="Standard"/>
        <w:tabs>
          <w:tab w:val="left" w:pos="720"/>
        </w:tabs>
        <w:jc w:val="both"/>
        <w:rPr>
          <w:sz w:val="19"/>
          <w:szCs w:val="19"/>
        </w:rPr>
      </w:pPr>
      <w:r>
        <w:rPr>
          <w:sz w:val="19"/>
          <w:szCs w:val="19"/>
        </w:rPr>
        <w:t>Burmistrz Miasta zastrzega sobie prawo możliwości odwołania przetargu z ważnych powodów.</w:t>
      </w:r>
    </w:p>
    <w:p w:rsidR="00BF1AE1" w:rsidRDefault="00EF658D">
      <w:pPr>
        <w:pStyle w:val="Standard"/>
        <w:tabs>
          <w:tab w:val="left" w:pos="720"/>
        </w:tabs>
        <w:jc w:val="both"/>
        <w:rPr>
          <w:sz w:val="19"/>
          <w:szCs w:val="19"/>
        </w:rPr>
      </w:pPr>
      <w:r>
        <w:rPr>
          <w:sz w:val="19"/>
          <w:szCs w:val="19"/>
        </w:rPr>
        <w:t>Szczegółowe informacje o przedmiocie i warunkach prze</w:t>
      </w:r>
      <w:r w:rsidR="001F53E7">
        <w:rPr>
          <w:sz w:val="19"/>
          <w:szCs w:val="19"/>
        </w:rPr>
        <w:t xml:space="preserve">targu można uzyskać w Wydziale </w:t>
      </w:r>
      <w:r>
        <w:rPr>
          <w:sz w:val="19"/>
          <w:szCs w:val="19"/>
        </w:rPr>
        <w:t>Gospodarowania Mieniem</w:t>
      </w:r>
      <w:r w:rsidR="001F53E7">
        <w:rPr>
          <w:sz w:val="19"/>
          <w:szCs w:val="19"/>
        </w:rPr>
        <w:t xml:space="preserve"> Gminy </w:t>
      </w:r>
      <w:r>
        <w:rPr>
          <w:sz w:val="19"/>
          <w:szCs w:val="19"/>
        </w:rPr>
        <w:t xml:space="preserve"> pok. nr 213 lub telefonicznie (0-48) 341 42 15 i  48 341 42 19.</w:t>
      </w:r>
    </w:p>
    <w:p w:rsidR="00BF1AE1" w:rsidRDefault="00EF658D">
      <w:pPr>
        <w:pStyle w:val="Standard"/>
        <w:jc w:val="both"/>
      </w:pPr>
      <w:r>
        <w:rPr>
          <w:sz w:val="19"/>
          <w:szCs w:val="19"/>
        </w:rPr>
        <w:t xml:space="preserve">                                                                                               </w:t>
      </w:r>
    </w:p>
    <w:p w:rsidR="00BF1AE1" w:rsidRDefault="00EF658D">
      <w:pPr>
        <w:pStyle w:val="Standard"/>
        <w:jc w:val="both"/>
      </w:pPr>
      <w:r>
        <w:rPr>
          <w:sz w:val="19"/>
          <w:szCs w:val="19"/>
        </w:rPr>
        <w:t xml:space="preserve">Pionki, dnia 05.05.2020 r.                                                      </w:t>
      </w:r>
      <w:r>
        <w:rPr>
          <w:sz w:val="19"/>
          <w:szCs w:val="19"/>
        </w:rPr>
        <w:tab/>
      </w:r>
      <w:r>
        <w:rPr>
          <w:sz w:val="19"/>
          <w:szCs w:val="19"/>
        </w:rPr>
        <w:tab/>
      </w:r>
      <w:r>
        <w:rPr>
          <w:sz w:val="19"/>
          <w:szCs w:val="19"/>
        </w:rPr>
        <w:tab/>
        <w:t xml:space="preserve"> Burmistrz Miasta Pionki</w:t>
      </w:r>
    </w:p>
    <w:p w:rsidR="00BF1AE1" w:rsidRDefault="00EF658D" w:rsidP="00DC77C4">
      <w:pPr>
        <w:pStyle w:val="Standard"/>
      </w:pPr>
      <w:r>
        <w:rPr>
          <w:sz w:val="19"/>
          <w:szCs w:val="19"/>
        </w:rPr>
        <w:tab/>
      </w:r>
      <w:r>
        <w:rPr>
          <w:sz w:val="19"/>
          <w:szCs w:val="19"/>
        </w:rPr>
        <w:tab/>
      </w:r>
      <w:r>
        <w:rPr>
          <w:sz w:val="19"/>
          <w:szCs w:val="19"/>
        </w:rPr>
        <w:tab/>
      </w:r>
      <w:r>
        <w:rPr>
          <w:sz w:val="19"/>
          <w:szCs w:val="19"/>
        </w:rPr>
        <w:tab/>
      </w:r>
      <w:r>
        <w:rPr>
          <w:sz w:val="19"/>
          <w:szCs w:val="19"/>
        </w:rPr>
        <w:tab/>
      </w:r>
      <w:r>
        <w:rPr>
          <w:sz w:val="19"/>
          <w:szCs w:val="19"/>
        </w:rPr>
        <w:tab/>
      </w:r>
      <w:r>
        <w:rPr>
          <w:sz w:val="19"/>
          <w:szCs w:val="19"/>
        </w:rPr>
        <w:tab/>
        <w:t xml:space="preserve">   </w:t>
      </w:r>
      <w:r>
        <w:rPr>
          <w:sz w:val="19"/>
          <w:szCs w:val="19"/>
        </w:rPr>
        <w:tab/>
      </w:r>
      <w:r>
        <w:rPr>
          <w:sz w:val="19"/>
          <w:szCs w:val="19"/>
        </w:rPr>
        <w:tab/>
      </w:r>
      <w:r w:rsidR="00421E39">
        <w:rPr>
          <w:sz w:val="19"/>
          <w:szCs w:val="19"/>
        </w:rPr>
        <w:t xml:space="preserve">   </w:t>
      </w:r>
      <w:r w:rsidR="00A40586">
        <w:rPr>
          <w:sz w:val="19"/>
          <w:szCs w:val="19"/>
        </w:rPr>
        <w:t>/-/ Robert Kowalczyk</w:t>
      </w:r>
      <w:r w:rsidR="00421E39">
        <w:rPr>
          <w:sz w:val="19"/>
          <w:szCs w:val="19"/>
        </w:rPr>
        <w:t xml:space="preserve">                                                                    </w:t>
      </w:r>
    </w:p>
    <w:p w:rsidR="00EE7F16" w:rsidRDefault="00EE7F16"/>
    <w:p w:rsidR="00EE7F16" w:rsidRDefault="00EE7F16"/>
    <w:p w:rsidR="00EE7F16" w:rsidRDefault="00EE7F16"/>
    <w:p w:rsidR="001F53E7" w:rsidRPr="001F53E7" w:rsidRDefault="001F53E7">
      <w:pPr>
        <w:rPr>
          <w:sz w:val="20"/>
          <w:szCs w:val="20"/>
        </w:rPr>
      </w:pPr>
    </w:p>
    <w:sectPr w:rsidR="001F53E7" w:rsidRPr="001F53E7">
      <w:pgSz w:w="11906" w:h="16838"/>
      <w:pgMar w:top="1134" w:right="1134" w:bottom="1134" w:left="1134" w:header="0" w:footer="0" w:gutter="0"/>
      <w:cols w:space="708"/>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OpenSymbol">
    <w:altName w:val="Arial Unicode MS"/>
    <w:charset w:val="EE"/>
    <w:family w:val="roman"/>
    <w:pitch w:val="variable"/>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650681"/>
    <w:multiLevelType w:val="multilevel"/>
    <w:tmpl w:val="739CA3F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63184B8B"/>
    <w:multiLevelType w:val="multilevel"/>
    <w:tmpl w:val="B9B62868"/>
    <w:lvl w:ilvl="0">
      <w:start w:val="1"/>
      <w:numFmt w:val="bullet"/>
      <w:lvlText w:val=""/>
      <w:lvlJc w:val="left"/>
      <w:pPr>
        <w:tabs>
          <w:tab w:val="num" w:pos="720"/>
        </w:tabs>
        <w:ind w:left="720" w:hanging="360"/>
      </w:pPr>
      <w:rPr>
        <w:rFonts w:ascii="Symbol" w:hAnsi="Symbol" w:cs="OpenSymbol" w:hint="default"/>
        <w:sz w:val="19"/>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AE1"/>
    <w:rsid w:val="001F53E7"/>
    <w:rsid w:val="00421E39"/>
    <w:rsid w:val="005E46BD"/>
    <w:rsid w:val="00760503"/>
    <w:rsid w:val="00977AA5"/>
    <w:rsid w:val="00A40586"/>
    <w:rsid w:val="00B515AD"/>
    <w:rsid w:val="00BF1AE1"/>
    <w:rsid w:val="00DC77C4"/>
    <w:rsid w:val="00ED5C1E"/>
    <w:rsid w:val="00EE7F16"/>
    <w:rsid w:val="00EF658D"/>
    <w:rsid w:val="00F203A7"/>
    <w:rsid w:val="00FD1E70"/>
    <w:rsid w:val="00FE1A7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E828E6-19BA-49EE-966F-C9C12FD14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rPr>
      <w:rFonts w:ascii="Calibri" w:eastAsia="Calibri" w:hAnsi="Calibri"/>
      <w:color w:val="00000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pple-converted-space">
    <w:name w:val="apple-converted-space"/>
    <w:basedOn w:val="Domylnaczcionkaakapitu"/>
    <w:qFormat/>
    <w:rsid w:val="006166EE"/>
  </w:style>
  <w:style w:type="character" w:styleId="Pogrubienie">
    <w:name w:val="Strong"/>
    <w:basedOn w:val="Domylnaczcionkaakapitu"/>
    <w:qFormat/>
    <w:rsid w:val="006166EE"/>
    <w:rPr>
      <w:b/>
      <w:bCs/>
    </w:rPr>
  </w:style>
  <w:style w:type="character" w:customStyle="1" w:styleId="TekstdymkaZnak">
    <w:name w:val="Tekst dymka Znak"/>
    <w:basedOn w:val="Domylnaczcionkaakapitu"/>
    <w:link w:val="Tekstdymka"/>
    <w:uiPriority w:val="99"/>
    <w:semiHidden/>
    <w:qFormat/>
    <w:rsid w:val="004134EB"/>
    <w:rPr>
      <w:rFonts w:ascii="Segoe UI" w:hAnsi="Segoe UI" w:cs="Segoe UI"/>
      <w:sz w:val="18"/>
      <w:szCs w:val="18"/>
    </w:rPr>
  </w:style>
  <w:style w:type="character" w:customStyle="1" w:styleId="Znakiwypunktowania">
    <w:name w:val="Znaki wypunktowania"/>
    <w:qFormat/>
    <w:rPr>
      <w:rFonts w:ascii="OpenSymbol" w:eastAsia="OpenSymbol" w:hAnsi="OpenSymbol" w:cs="OpenSymbol"/>
    </w:rPr>
  </w:style>
  <w:style w:type="character" w:customStyle="1" w:styleId="ListLabel1">
    <w:name w:val="ListLabel 1"/>
    <w:qFormat/>
    <w:rPr>
      <w:rFonts w:cs="OpenSymbol"/>
    </w:rPr>
  </w:style>
  <w:style w:type="character" w:customStyle="1" w:styleId="ListLabel2">
    <w:name w:val="ListLabel 2"/>
    <w:qFormat/>
    <w:rPr>
      <w:rFonts w:cs="OpenSymbol"/>
    </w:rPr>
  </w:style>
  <w:style w:type="character" w:customStyle="1" w:styleId="ListLabel3">
    <w:name w:val="ListLabel 3"/>
    <w:qFormat/>
    <w:rPr>
      <w:rFonts w:cs="OpenSymbol"/>
    </w:rPr>
  </w:style>
  <w:style w:type="character" w:customStyle="1" w:styleId="ListLabel4">
    <w:name w:val="ListLabel 4"/>
    <w:qFormat/>
    <w:rPr>
      <w:rFonts w:cs="OpenSymbol"/>
    </w:rPr>
  </w:style>
  <w:style w:type="character" w:customStyle="1" w:styleId="ListLabel5">
    <w:name w:val="ListLabel 5"/>
    <w:qFormat/>
    <w:rPr>
      <w:rFonts w:cs="OpenSymbol"/>
    </w:rPr>
  </w:style>
  <w:style w:type="character" w:customStyle="1" w:styleId="ListLabel6">
    <w:name w:val="ListLabel 6"/>
    <w:qFormat/>
    <w:rPr>
      <w:rFonts w:cs="OpenSymbol"/>
    </w:rPr>
  </w:style>
  <w:style w:type="character" w:customStyle="1" w:styleId="ListLabel7">
    <w:name w:val="ListLabel 7"/>
    <w:qFormat/>
    <w:rPr>
      <w:rFonts w:cs="OpenSymbol"/>
    </w:rPr>
  </w:style>
  <w:style w:type="character" w:customStyle="1" w:styleId="ListLabel8">
    <w:name w:val="ListLabel 8"/>
    <w:qFormat/>
    <w:rPr>
      <w:rFonts w:cs="OpenSymbol"/>
    </w:rPr>
  </w:style>
  <w:style w:type="character" w:customStyle="1" w:styleId="ListLabel9">
    <w:name w:val="ListLabel 9"/>
    <w:qFormat/>
    <w:rPr>
      <w:rFonts w:cs="OpenSymbol"/>
    </w:rPr>
  </w:style>
  <w:style w:type="character" w:customStyle="1" w:styleId="ListLabel10">
    <w:name w:val="ListLabel 10"/>
    <w:qFormat/>
    <w:rPr>
      <w:rFonts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cs="OpenSymbol"/>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sz w:val="19"/>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cs="OpenSymbol"/>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eastAsia="OpenSymbol" w:cs="OpenSymbol"/>
    </w:rPr>
  </w:style>
  <w:style w:type="character" w:customStyle="1" w:styleId="ListLabel29">
    <w:name w:val="ListLabel 29"/>
    <w:qFormat/>
    <w:rPr>
      <w:rFonts w:eastAsia="OpenSymbol" w:cs="OpenSymbol"/>
    </w:rPr>
  </w:style>
  <w:style w:type="character" w:customStyle="1" w:styleId="ListLabel30">
    <w:name w:val="ListLabel 30"/>
    <w:qFormat/>
    <w:rPr>
      <w:rFonts w:eastAsia="OpenSymbol" w:cs="OpenSymbol"/>
    </w:rPr>
  </w:style>
  <w:style w:type="character" w:customStyle="1" w:styleId="ListLabel31">
    <w:name w:val="ListLabel 31"/>
    <w:qFormat/>
    <w:rPr>
      <w:rFonts w:eastAsia="OpenSymbol" w:cs="OpenSymbol"/>
    </w:rPr>
  </w:style>
  <w:style w:type="character" w:customStyle="1" w:styleId="ListLabel32">
    <w:name w:val="ListLabel 32"/>
    <w:qFormat/>
    <w:rPr>
      <w:rFonts w:eastAsia="OpenSymbol" w:cs="OpenSymbol"/>
    </w:rPr>
  </w:style>
  <w:style w:type="character" w:customStyle="1" w:styleId="ListLabel33">
    <w:name w:val="ListLabel 33"/>
    <w:qFormat/>
    <w:rPr>
      <w:rFonts w:eastAsia="OpenSymbol" w:cs="OpenSymbol"/>
    </w:rPr>
  </w:style>
  <w:style w:type="character" w:customStyle="1" w:styleId="ListLabel34">
    <w:name w:val="ListLabel 34"/>
    <w:qFormat/>
    <w:rPr>
      <w:rFonts w:eastAsia="OpenSymbol" w:cs="OpenSymbol"/>
    </w:rPr>
  </w:style>
  <w:style w:type="character" w:customStyle="1" w:styleId="ListLabel35">
    <w:name w:val="ListLabel 35"/>
    <w:qFormat/>
    <w:rPr>
      <w:rFonts w:eastAsia="OpenSymbol" w:cs="OpenSymbol"/>
    </w:rPr>
  </w:style>
  <w:style w:type="character" w:customStyle="1" w:styleId="ListLabel36">
    <w:name w:val="ListLabel 36"/>
    <w:qFormat/>
    <w:rPr>
      <w:rFonts w:eastAsia="OpenSymbol" w:cs="OpenSymbol"/>
    </w:rPr>
  </w:style>
  <w:style w:type="character" w:customStyle="1" w:styleId="ListLabel37">
    <w:name w:val="ListLabel 37"/>
    <w:qFormat/>
    <w:rPr>
      <w:rFonts w:cs="OpenSymbol"/>
      <w:sz w:val="19"/>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sz w:val="19"/>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Standard">
    <w:name w:val="Standard"/>
    <w:qFormat/>
    <w:rsid w:val="006166EE"/>
    <w:pPr>
      <w:widowControl w:val="0"/>
      <w:suppressAutoHyphens/>
      <w:textAlignment w:val="baseline"/>
    </w:pPr>
    <w:rPr>
      <w:rFonts w:ascii="Times New Roman" w:eastAsia="Lucida Sans Unicode" w:hAnsi="Times New Roman" w:cs="Mangal"/>
      <w:color w:val="00000A"/>
      <w:kern w:val="2"/>
      <w:sz w:val="24"/>
      <w:szCs w:val="24"/>
      <w:lang w:eastAsia="zh-CN" w:bidi="hi-IN"/>
    </w:rPr>
  </w:style>
  <w:style w:type="paragraph" w:styleId="NormalnyWeb">
    <w:name w:val="Normal (Web)"/>
    <w:basedOn w:val="Normalny"/>
    <w:qFormat/>
    <w:rsid w:val="006166EE"/>
    <w:pPr>
      <w:spacing w:before="100" w:after="10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4134EB"/>
    <w:pPr>
      <w:spacing w:after="0" w:line="240" w:lineRule="auto"/>
    </w:pPr>
    <w:rPr>
      <w:rFonts w:ascii="Segoe UI" w:hAnsi="Segoe UI" w:cs="Segoe UI"/>
      <w:sz w:val="18"/>
      <w:szCs w:val="18"/>
    </w:rPr>
  </w:style>
  <w:style w:type="paragraph" w:customStyle="1" w:styleId="Zawartotabeli">
    <w:name w:val="Zawartość tabeli"/>
    <w:basedOn w:val="Standard"/>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15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2</Pages>
  <Words>1226</Words>
  <Characters>7360</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Danuta Zygadlo</dc:creator>
  <dc:description/>
  <cp:lastModifiedBy>Danuta Zygadlo</cp:lastModifiedBy>
  <cp:revision>5</cp:revision>
  <cp:lastPrinted>2020-05-08T12:14:00Z</cp:lastPrinted>
  <dcterms:created xsi:type="dcterms:W3CDTF">2020-05-06T09:01:00Z</dcterms:created>
  <dcterms:modified xsi:type="dcterms:W3CDTF">2020-05-08T12:15:00Z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